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99700636"/>
        <w:docPartObj>
          <w:docPartGallery w:val="Cover Pages"/>
          <w:docPartUnique/>
        </w:docPartObj>
      </w:sdtPr>
      <w:sdtContent>
        <w:p w14:paraId="4392E86B" w14:textId="77777777" w:rsidR="0010313F" w:rsidRDefault="0010313F" w:rsidP="001639E2"/>
        <w:p w14:paraId="75EB1E92" w14:textId="4EAE1492" w:rsidR="001728E0" w:rsidRDefault="00013DA6" w:rsidP="00CB4042">
          <w:pPr>
            <w:jc w:val="center"/>
          </w:pPr>
          <w:r w:rsidRPr="00670E47">
            <w:rPr>
              <w:noProof/>
            </w:rPr>
            <mc:AlternateContent>
              <mc:Choice Requires="wps">
                <w:drawing>
                  <wp:anchor distT="45720" distB="45720" distL="114300" distR="114300" simplePos="0" relativeHeight="251658240" behindDoc="0" locked="0" layoutInCell="1" allowOverlap="1" wp14:anchorId="46338E7F" wp14:editId="42EE7CC5">
                    <wp:simplePos x="0" y="0"/>
                    <wp:positionH relativeFrom="column">
                      <wp:posOffset>465357</wp:posOffset>
                    </wp:positionH>
                    <wp:positionV relativeFrom="paragraph">
                      <wp:posOffset>3581400</wp:posOffset>
                    </wp:positionV>
                    <wp:extent cx="5660390" cy="2336800"/>
                    <wp:effectExtent l="0" t="0" r="0" b="0"/>
                    <wp:wrapSquare wrapText="bothSides"/>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390" cy="2336800"/>
                            </a:xfrm>
                            <a:prstGeom prst="rect">
                              <a:avLst/>
                            </a:prstGeom>
                            <a:noFill/>
                            <a:ln w="9525">
                              <a:noFill/>
                              <a:miter lim="800000"/>
                              <a:headEnd/>
                              <a:tailEnd/>
                            </a:ln>
                          </wps:spPr>
                          <wps:txbx>
                            <w:txbxContent>
                              <w:p w14:paraId="0F851A9B" w14:textId="1C38D7A2" w:rsidR="00870708" w:rsidRPr="00CE7236" w:rsidRDefault="00013DA6" w:rsidP="001639E2">
                                <w:pPr>
                                  <w:pStyle w:val="Title"/>
                                </w:pPr>
                                <w:r w:rsidRPr="00CE7236">
                                  <w:t xml:space="preserve">BIC </w:t>
                                </w:r>
                                <w:r w:rsidR="0011693B">
                                  <w:t>EUDR Practicalities</w:t>
                                </w:r>
                              </w:p>
                              <w:p w14:paraId="005A78F7" w14:textId="77777777" w:rsidR="00045198" w:rsidRPr="007E0260" w:rsidRDefault="00045198" w:rsidP="001639E2"/>
                              <w:p w14:paraId="29DF483D" w14:textId="1C7C00B5" w:rsidR="00670E47" w:rsidRPr="006718C1" w:rsidRDefault="00790D76" w:rsidP="001639E2">
                                <w:pPr>
                                  <w:pStyle w:val="Subtitle"/>
                                </w:pPr>
                                <w:r>
                                  <w:t>Helpful</w:t>
                                </w:r>
                                <w:r w:rsidR="0011693B">
                                  <w:t xml:space="preserv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338E7F" id="_x0000_t202" coordsize="21600,21600" o:spt="202" path="m,l,21600r21600,l21600,xe">
                    <v:stroke joinstyle="miter"/>
                    <v:path gradientshapeok="t" o:connecttype="rect"/>
                  </v:shapetype>
                  <v:shape id="Text Box 2" o:spid="_x0000_s1026" type="#_x0000_t202" style="position:absolute;left:0;text-align:left;margin-left:36.65pt;margin-top:282pt;width:445.7pt;height:1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" filled="f" stroked="f">
                    <v:textbox>
                      <w:txbxContent>
                        <w:p w14:paraId="0F851A9B" w14:textId="1C38D7A2" w:rsidR="00870708" w:rsidRPr="00CE7236" w:rsidRDefault="00013DA6" w:rsidP="001639E2">
                          <w:pPr>
                            <w:pStyle w:val="Title"/>
                          </w:pPr>
                          <w:r w:rsidRPr="00CE7236">
                            <w:t xml:space="preserve">BIC </w:t>
                          </w:r>
                          <w:r w:rsidR="0011693B">
                            <w:t>EUDR Practicalities</w:t>
                          </w:r>
                        </w:p>
                        <w:p w14:paraId="005A78F7" w14:textId="77777777" w:rsidR="00045198" w:rsidRPr="007E0260" w:rsidRDefault="00045198" w:rsidP="001639E2"/>
                        <w:p w14:paraId="29DF483D" w14:textId="1C7C00B5" w:rsidR="00670E47" w:rsidRPr="006718C1" w:rsidRDefault="00790D76" w:rsidP="001639E2">
                          <w:pPr>
                            <w:pStyle w:val="Subtitle"/>
                          </w:pPr>
                          <w:r>
                            <w:t>Helpful</w:t>
                          </w:r>
                          <w:r w:rsidR="0011693B">
                            <w:t xml:space="preserve"> Information</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52357B37" wp14:editId="68C4CB2A">
                    <wp:simplePos x="0" y="0"/>
                    <wp:positionH relativeFrom="page">
                      <wp:posOffset>339090</wp:posOffset>
                    </wp:positionH>
                    <wp:positionV relativeFrom="paragraph">
                      <wp:posOffset>8315912</wp:posOffset>
                    </wp:positionV>
                    <wp:extent cx="5197475" cy="8286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475" cy="828675"/>
                            </a:xfrm>
                            <a:prstGeom prst="rect">
                              <a:avLst/>
                            </a:prstGeom>
                            <a:noFill/>
                            <a:ln w="9525">
                              <a:noFill/>
                              <a:miter lim="800000"/>
                              <a:headEnd/>
                              <a:tailEnd/>
                            </a:ln>
                          </wps:spPr>
                          <wps:txbx>
                            <w:txbxContent>
                              <w:p w14:paraId="259A750B" w14:textId="2A6C4EC9" w:rsidR="006A0040" w:rsidRPr="009F217A" w:rsidRDefault="006A0040" w:rsidP="001639E2">
                                <w:r w:rsidRPr="009F217A">
                                  <w:t xml:space="preserve">Prepared by </w:t>
                                </w:r>
                                <w:r w:rsidR="0011693B">
                                  <w:t>Simon Crump</w:t>
                                </w:r>
                              </w:p>
                              <w:p w14:paraId="3188F3F3" w14:textId="19789A50" w:rsidR="006A0040" w:rsidRPr="009F217A" w:rsidRDefault="00E63A5A" w:rsidP="001639E2">
                                <w:r>
                                  <w:t>August</w:t>
                                </w:r>
                                <w:r w:rsidR="00F3489E">
                                  <w:t xml:space="preserve"> </w:t>
                                </w:r>
                                <w:r w:rsidR="006A0040" w:rsidRPr="009F217A">
                                  <w:t>202</w:t>
                                </w:r>
                                <w:r w:rsidR="000015B9">
                                  <w:t>6</w:t>
                                </w:r>
                                <w:r w:rsidR="006718C1">
                                  <w:t xml:space="preserve"> </w:t>
                                </w:r>
                                <w:r w:rsidR="006A0040" w:rsidRPr="009F217A">
                                  <w:t xml:space="preserve">Version </w:t>
                                </w:r>
                                <w:r w:rsidR="000015B9">
                                  <w:t xml:space="preserve">2 – </w:t>
                                </w:r>
                                <w:r>
                                  <w:t>1.0.0</w:t>
                                </w:r>
                              </w:p>
                              <w:p w14:paraId="6E0379A8" w14:textId="77777777" w:rsidR="006A0040" w:rsidRPr="009F217A" w:rsidRDefault="006A0040" w:rsidP="001639E2"/>
                              <w:p w14:paraId="165F0DB5" w14:textId="63ABCA68" w:rsidR="006A0040" w:rsidRPr="009F217A" w:rsidRDefault="006A0040" w:rsidP="001639E2">
                                <w:r w:rsidRPr="009F217A">
                                  <w:t>Copyright © 202</w:t>
                                </w:r>
                                <w:r w:rsidR="00AF5CBB">
                                  <w:t>6</w:t>
                                </w:r>
                                <w:r w:rsidR="009F217A" w:rsidRPr="009F217A">
                                  <w:t xml:space="preserve"> </w:t>
                                </w:r>
                                <w:r w:rsidRPr="009F217A">
                                  <w:t>Book Industry Communication L</w:t>
                                </w:r>
                                <w:r w:rsidR="009F217A" w:rsidRPr="009F217A">
                                  <w:t>td.</w:t>
                                </w:r>
                              </w:p>
                              <w:p w14:paraId="579D8CFA" w14:textId="77777777" w:rsidR="006A0040" w:rsidRPr="009F217A" w:rsidRDefault="006A0040" w:rsidP="001639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57B37" id="_x0000_s1027" type="#_x0000_t202" style="position:absolute;left:0;text-align:left;margin-left:26.7pt;margin-top:654.8pt;width:409.25pt;height:6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" filled="f" stroked="f">
                    <v:textbox>
                      <w:txbxContent>
                        <w:p w14:paraId="259A750B" w14:textId="2A6C4EC9" w:rsidR="006A0040" w:rsidRPr="009F217A" w:rsidRDefault="006A0040" w:rsidP="001639E2">
                          <w:r w:rsidRPr="009F217A">
                            <w:t xml:space="preserve">Prepared by </w:t>
                          </w:r>
                          <w:r w:rsidR="0011693B">
                            <w:t>Simon Crump</w:t>
                          </w:r>
                        </w:p>
                        <w:p w14:paraId="3188F3F3" w14:textId="19789A50" w:rsidR="006A0040" w:rsidRPr="009F217A" w:rsidRDefault="00E63A5A" w:rsidP="001639E2">
                          <w:r>
                            <w:t>August</w:t>
                          </w:r>
                          <w:r w:rsidR="00F3489E">
                            <w:t xml:space="preserve"> </w:t>
                          </w:r>
                          <w:r w:rsidR="006A0040" w:rsidRPr="009F217A">
                            <w:t>202</w:t>
                          </w:r>
                          <w:r w:rsidR="000015B9">
                            <w:t>6</w:t>
                          </w:r>
                          <w:r w:rsidR="006718C1">
                            <w:t xml:space="preserve"> </w:t>
                          </w:r>
                          <w:r w:rsidR="006A0040" w:rsidRPr="009F217A">
                            <w:t xml:space="preserve">Version </w:t>
                          </w:r>
                          <w:r w:rsidR="000015B9">
                            <w:t xml:space="preserve">2 – </w:t>
                          </w:r>
                          <w:r>
                            <w:t>1.0.0</w:t>
                          </w:r>
                        </w:p>
                        <w:p w14:paraId="6E0379A8" w14:textId="77777777" w:rsidR="006A0040" w:rsidRPr="009F217A" w:rsidRDefault="006A0040" w:rsidP="001639E2"/>
                        <w:p w14:paraId="165F0DB5" w14:textId="63ABCA68" w:rsidR="006A0040" w:rsidRPr="009F217A" w:rsidRDefault="006A0040" w:rsidP="001639E2">
                          <w:r w:rsidRPr="009F217A">
                            <w:t>Copyright © 202</w:t>
                          </w:r>
                          <w:r w:rsidR="00AF5CBB">
                            <w:t>6</w:t>
                          </w:r>
                          <w:r w:rsidR="009F217A" w:rsidRPr="009F217A">
                            <w:t xml:space="preserve"> </w:t>
                          </w:r>
                          <w:r w:rsidRPr="009F217A">
                            <w:t>Book Industry Communication L</w:t>
                          </w:r>
                          <w:r w:rsidR="009F217A" w:rsidRPr="009F217A">
                            <w:t>td.</w:t>
                          </w:r>
                        </w:p>
                        <w:p w14:paraId="579D8CFA" w14:textId="77777777" w:rsidR="006A0040" w:rsidRPr="009F217A" w:rsidRDefault="006A0040" w:rsidP="001639E2"/>
                      </w:txbxContent>
                    </v:textbox>
                    <w10:wrap anchorx="page"/>
                  </v:shape>
                </w:pict>
              </mc:Fallback>
            </mc:AlternateContent>
          </w:r>
          <w:r w:rsidR="00CE7236">
            <w:rPr>
              <w:noProof/>
            </w:rPr>
            <w:drawing>
              <wp:inline distT="0" distB="0" distL="0" distR="0" wp14:anchorId="60B2F075" wp14:editId="4BBFAF6A">
                <wp:extent cx="2657646" cy="2334260"/>
                <wp:effectExtent l="0" t="0" r="952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657646" cy="2334260"/>
                        </a:xfrm>
                        <a:prstGeom prst="rect">
                          <a:avLst/>
                        </a:prstGeom>
                        <a:noFill/>
                      </pic:spPr>
                    </pic:pic>
                  </a:graphicData>
                </a:graphic>
              </wp:inline>
            </w:drawing>
          </w:r>
          <w:r w:rsidR="0010313F">
            <w:br w:type="page"/>
          </w:r>
        </w:p>
      </w:sdtContent>
    </w:sdt>
    <w:bookmarkStart w:id="0" w:name="_Toc237262928" w:displacedByCustomXml="next"/>
    <w:sdt>
      <w:sdtPr>
        <w:rPr>
          <w:b w:val="0"/>
          <w:bCs w:val="0"/>
          <w:color w:val="auto"/>
          <w:sz w:val="22"/>
          <w:szCs w:val="22"/>
        </w:rPr>
        <w:id w:val="714525200"/>
        <w:docPartObj>
          <w:docPartGallery w:val="Table of Contents"/>
          <w:docPartUnique/>
        </w:docPartObj>
      </w:sdtPr>
      <w:sdtContent>
        <w:p w14:paraId="1C01A9DC" w14:textId="074B1343" w:rsidR="00CB4042" w:rsidRDefault="4866E752" w:rsidP="006431D9">
          <w:pPr>
            <w:pStyle w:val="Heading1"/>
          </w:pPr>
          <w:r>
            <w:t>Contents</w:t>
          </w:r>
          <w:bookmarkEnd w:id="0"/>
        </w:p>
        <w:p w14:paraId="2B44BC14" w14:textId="01C9A431" w:rsidR="00893C60" w:rsidRDefault="337696F5">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r>
            <w:fldChar w:fldCharType="begin"/>
          </w:r>
          <w:r w:rsidR="0A88F668">
            <w:instrText>TOC \o "1-3" \z \u \h</w:instrText>
          </w:r>
          <w:r>
            <w:fldChar w:fldCharType="separate"/>
          </w:r>
          <w:hyperlink w:anchor="_Toc237262928" w:history="1">
            <w:r w:rsidR="00893C60" w:rsidRPr="000E6DA6">
              <w:rPr>
                <w:rStyle w:val="Hyperlink"/>
                <w:noProof/>
              </w:rPr>
              <w:t>Contents</w:t>
            </w:r>
            <w:r w:rsidR="00893C60">
              <w:rPr>
                <w:noProof/>
                <w:webHidden/>
              </w:rPr>
              <w:tab/>
            </w:r>
            <w:r w:rsidR="00893C60">
              <w:rPr>
                <w:noProof/>
                <w:webHidden/>
              </w:rPr>
              <w:fldChar w:fldCharType="begin"/>
            </w:r>
            <w:r w:rsidR="00893C60">
              <w:rPr>
                <w:noProof/>
                <w:webHidden/>
              </w:rPr>
              <w:instrText xml:space="preserve"> PAGEREF _Toc237262928 \h </w:instrText>
            </w:r>
            <w:r w:rsidR="00893C60">
              <w:rPr>
                <w:noProof/>
                <w:webHidden/>
              </w:rPr>
            </w:r>
            <w:r w:rsidR="00893C60">
              <w:rPr>
                <w:noProof/>
                <w:webHidden/>
              </w:rPr>
              <w:fldChar w:fldCharType="separate"/>
            </w:r>
            <w:r w:rsidR="00893C60">
              <w:rPr>
                <w:noProof/>
                <w:webHidden/>
              </w:rPr>
              <w:t>2</w:t>
            </w:r>
            <w:r w:rsidR="00893C60">
              <w:rPr>
                <w:noProof/>
                <w:webHidden/>
              </w:rPr>
              <w:fldChar w:fldCharType="end"/>
            </w:r>
          </w:hyperlink>
        </w:p>
        <w:p w14:paraId="06F00F74" w14:textId="0C81174F"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29" w:history="1">
            <w:r w:rsidRPr="000E6DA6">
              <w:rPr>
                <w:rStyle w:val="Hyperlink"/>
                <w:noProof/>
              </w:rPr>
              <w:t>Introduction</w:t>
            </w:r>
            <w:r>
              <w:rPr>
                <w:noProof/>
                <w:webHidden/>
              </w:rPr>
              <w:tab/>
            </w:r>
            <w:r>
              <w:rPr>
                <w:noProof/>
                <w:webHidden/>
              </w:rPr>
              <w:fldChar w:fldCharType="begin"/>
            </w:r>
            <w:r>
              <w:rPr>
                <w:noProof/>
                <w:webHidden/>
              </w:rPr>
              <w:instrText xml:space="preserve"> PAGEREF _Toc237262929 \h </w:instrText>
            </w:r>
            <w:r>
              <w:rPr>
                <w:noProof/>
                <w:webHidden/>
              </w:rPr>
            </w:r>
            <w:r>
              <w:rPr>
                <w:noProof/>
                <w:webHidden/>
              </w:rPr>
              <w:fldChar w:fldCharType="separate"/>
            </w:r>
            <w:r>
              <w:rPr>
                <w:noProof/>
                <w:webHidden/>
              </w:rPr>
              <w:t>4</w:t>
            </w:r>
            <w:r>
              <w:rPr>
                <w:noProof/>
                <w:webHidden/>
              </w:rPr>
              <w:fldChar w:fldCharType="end"/>
            </w:r>
          </w:hyperlink>
        </w:p>
        <w:p w14:paraId="428D93DB" w14:textId="5DA21A1B"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0" w:history="1">
            <w:r w:rsidRPr="000E6DA6">
              <w:rPr>
                <w:rStyle w:val="Hyperlink"/>
                <w:noProof/>
              </w:rPr>
              <w:t>European Union Deforestation Regulation (EUDR)</w:t>
            </w:r>
            <w:r>
              <w:rPr>
                <w:noProof/>
                <w:webHidden/>
              </w:rPr>
              <w:tab/>
            </w:r>
            <w:r>
              <w:rPr>
                <w:noProof/>
                <w:webHidden/>
              </w:rPr>
              <w:fldChar w:fldCharType="begin"/>
            </w:r>
            <w:r>
              <w:rPr>
                <w:noProof/>
                <w:webHidden/>
              </w:rPr>
              <w:instrText xml:space="preserve"> PAGEREF _Toc237262930 \h </w:instrText>
            </w:r>
            <w:r>
              <w:rPr>
                <w:noProof/>
                <w:webHidden/>
              </w:rPr>
            </w:r>
            <w:r>
              <w:rPr>
                <w:noProof/>
                <w:webHidden/>
              </w:rPr>
              <w:fldChar w:fldCharType="separate"/>
            </w:r>
            <w:r>
              <w:rPr>
                <w:noProof/>
                <w:webHidden/>
              </w:rPr>
              <w:t>4</w:t>
            </w:r>
            <w:r>
              <w:rPr>
                <w:noProof/>
                <w:webHidden/>
              </w:rPr>
              <w:fldChar w:fldCharType="end"/>
            </w:r>
          </w:hyperlink>
        </w:p>
        <w:p w14:paraId="4C6E13AC" w14:textId="0E821625"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1" w:history="1">
            <w:r w:rsidRPr="000E6DA6">
              <w:rPr>
                <w:rStyle w:val="Hyperlink"/>
                <w:noProof/>
              </w:rPr>
              <w:t>EUDR documentation</w:t>
            </w:r>
            <w:r>
              <w:rPr>
                <w:noProof/>
                <w:webHidden/>
              </w:rPr>
              <w:tab/>
            </w:r>
            <w:r>
              <w:rPr>
                <w:noProof/>
                <w:webHidden/>
              </w:rPr>
              <w:fldChar w:fldCharType="begin"/>
            </w:r>
            <w:r>
              <w:rPr>
                <w:noProof/>
                <w:webHidden/>
              </w:rPr>
              <w:instrText xml:space="preserve"> PAGEREF _Toc237262931 \h </w:instrText>
            </w:r>
            <w:r>
              <w:rPr>
                <w:noProof/>
                <w:webHidden/>
              </w:rPr>
            </w:r>
            <w:r>
              <w:rPr>
                <w:noProof/>
                <w:webHidden/>
              </w:rPr>
              <w:fldChar w:fldCharType="separate"/>
            </w:r>
            <w:r>
              <w:rPr>
                <w:noProof/>
                <w:webHidden/>
              </w:rPr>
              <w:t>4</w:t>
            </w:r>
            <w:r>
              <w:rPr>
                <w:noProof/>
                <w:webHidden/>
              </w:rPr>
              <w:fldChar w:fldCharType="end"/>
            </w:r>
          </w:hyperlink>
        </w:p>
        <w:p w14:paraId="35F58287" w14:textId="00EF77D2"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2" w:history="1">
            <w:r w:rsidRPr="000E6DA6">
              <w:rPr>
                <w:rStyle w:val="Hyperlink"/>
                <w:noProof/>
              </w:rPr>
              <w:t>EUDR FAQs</w:t>
            </w:r>
            <w:r>
              <w:rPr>
                <w:noProof/>
                <w:webHidden/>
              </w:rPr>
              <w:tab/>
            </w:r>
            <w:r>
              <w:rPr>
                <w:noProof/>
                <w:webHidden/>
              </w:rPr>
              <w:fldChar w:fldCharType="begin"/>
            </w:r>
            <w:r>
              <w:rPr>
                <w:noProof/>
                <w:webHidden/>
              </w:rPr>
              <w:instrText xml:space="preserve"> PAGEREF _Toc237262932 \h </w:instrText>
            </w:r>
            <w:r>
              <w:rPr>
                <w:noProof/>
                <w:webHidden/>
              </w:rPr>
            </w:r>
            <w:r>
              <w:rPr>
                <w:noProof/>
                <w:webHidden/>
              </w:rPr>
              <w:fldChar w:fldCharType="separate"/>
            </w:r>
            <w:r>
              <w:rPr>
                <w:noProof/>
                <w:webHidden/>
              </w:rPr>
              <w:t>4</w:t>
            </w:r>
            <w:r>
              <w:rPr>
                <w:noProof/>
                <w:webHidden/>
              </w:rPr>
              <w:fldChar w:fldCharType="end"/>
            </w:r>
          </w:hyperlink>
        </w:p>
        <w:p w14:paraId="269D551A" w14:textId="56CDD204"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3" w:history="1">
            <w:r w:rsidRPr="000E6DA6">
              <w:rPr>
                <w:rStyle w:val="Hyperlink"/>
                <w:noProof/>
              </w:rPr>
              <w:t>Note on B2C transactions and SME requirements</w:t>
            </w:r>
            <w:r>
              <w:rPr>
                <w:noProof/>
                <w:webHidden/>
              </w:rPr>
              <w:tab/>
            </w:r>
            <w:r>
              <w:rPr>
                <w:noProof/>
                <w:webHidden/>
              </w:rPr>
              <w:fldChar w:fldCharType="begin"/>
            </w:r>
            <w:r>
              <w:rPr>
                <w:noProof/>
                <w:webHidden/>
              </w:rPr>
              <w:instrText xml:space="preserve"> PAGEREF _Toc237262933 \h </w:instrText>
            </w:r>
            <w:r>
              <w:rPr>
                <w:noProof/>
                <w:webHidden/>
              </w:rPr>
            </w:r>
            <w:r>
              <w:rPr>
                <w:noProof/>
                <w:webHidden/>
              </w:rPr>
              <w:fldChar w:fldCharType="separate"/>
            </w:r>
            <w:r>
              <w:rPr>
                <w:noProof/>
                <w:webHidden/>
              </w:rPr>
              <w:t>4</w:t>
            </w:r>
            <w:r>
              <w:rPr>
                <w:noProof/>
                <w:webHidden/>
              </w:rPr>
              <w:fldChar w:fldCharType="end"/>
            </w:r>
          </w:hyperlink>
        </w:p>
        <w:p w14:paraId="7CD69B09" w14:textId="38C4AB81"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4" w:history="1">
            <w:r w:rsidRPr="000E6DA6">
              <w:rPr>
                <w:rStyle w:val="Hyperlink"/>
                <w:noProof/>
              </w:rPr>
              <w:t>Product inclusions and exemptions</w:t>
            </w:r>
            <w:r>
              <w:rPr>
                <w:noProof/>
                <w:webHidden/>
              </w:rPr>
              <w:tab/>
            </w:r>
            <w:r>
              <w:rPr>
                <w:noProof/>
                <w:webHidden/>
              </w:rPr>
              <w:fldChar w:fldCharType="begin"/>
            </w:r>
            <w:r>
              <w:rPr>
                <w:noProof/>
                <w:webHidden/>
              </w:rPr>
              <w:instrText xml:space="preserve"> PAGEREF _Toc237262934 \h </w:instrText>
            </w:r>
            <w:r>
              <w:rPr>
                <w:noProof/>
                <w:webHidden/>
              </w:rPr>
            </w:r>
            <w:r>
              <w:rPr>
                <w:noProof/>
                <w:webHidden/>
              </w:rPr>
              <w:fldChar w:fldCharType="separate"/>
            </w:r>
            <w:r>
              <w:rPr>
                <w:noProof/>
                <w:webHidden/>
              </w:rPr>
              <w:t>4</w:t>
            </w:r>
            <w:r>
              <w:rPr>
                <w:noProof/>
                <w:webHidden/>
              </w:rPr>
              <w:fldChar w:fldCharType="end"/>
            </w:r>
          </w:hyperlink>
        </w:p>
        <w:p w14:paraId="5006AB3E" w14:textId="14789989"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5" w:history="1">
            <w:r w:rsidRPr="000E6DA6">
              <w:rPr>
                <w:rStyle w:val="Hyperlink"/>
                <w:noProof/>
              </w:rPr>
              <w:t>Inclusions</w:t>
            </w:r>
            <w:r>
              <w:rPr>
                <w:noProof/>
                <w:webHidden/>
              </w:rPr>
              <w:tab/>
            </w:r>
            <w:r>
              <w:rPr>
                <w:noProof/>
                <w:webHidden/>
              </w:rPr>
              <w:fldChar w:fldCharType="begin"/>
            </w:r>
            <w:r>
              <w:rPr>
                <w:noProof/>
                <w:webHidden/>
              </w:rPr>
              <w:instrText xml:space="preserve"> PAGEREF _Toc237262935 \h </w:instrText>
            </w:r>
            <w:r>
              <w:rPr>
                <w:noProof/>
                <w:webHidden/>
              </w:rPr>
            </w:r>
            <w:r>
              <w:rPr>
                <w:noProof/>
                <w:webHidden/>
              </w:rPr>
              <w:fldChar w:fldCharType="separate"/>
            </w:r>
            <w:r>
              <w:rPr>
                <w:noProof/>
                <w:webHidden/>
              </w:rPr>
              <w:t>4</w:t>
            </w:r>
            <w:r>
              <w:rPr>
                <w:noProof/>
                <w:webHidden/>
              </w:rPr>
              <w:fldChar w:fldCharType="end"/>
            </w:r>
          </w:hyperlink>
        </w:p>
        <w:p w14:paraId="2AE456D8" w14:textId="26875E75"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6" w:history="1">
            <w:r w:rsidRPr="000E6DA6">
              <w:rPr>
                <w:rStyle w:val="Hyperlink"/>
                <w:noProof/>
              </w:rPr>
              <w:t>Exemptions</w:t>
            </w:r>
            <w:r>
              <w:rPr>
                <w:noProof/>
                <w:webHidden/>
              </w:rPr>
              <w:tab/>
            </w:r>
            <w:r>
              <w:rPr>
                <w:noProof/>
                <w:webHidden/>
              </w:rPr>
              <w:fldChar w:fldCharType="begin"/>
            </w:r>
            <w:r>
              <w:rPr>
                <w:noProof/>
                <w:webHidden/>
              </w:rPr>
              <w:instrText xml:space="preserve"> PAGEREF _Toc237262936 \h </w:instrText>
            </w:r>
            <w:r>
              <w:rPr>
                <w:noProof/>
                <w:webHidden/>
              </w:rPr>
            </w:r>
            <w:r>
              <w:rPr>
                <w:noProof/>
                <w:webHidden/>
              </w:rPr>
              <w:fldChar w:fldCharType="separate"/>
            </w:r>
            <w:r>
              <w:rPr>
                <w:noProof/>
                <w:webHidden/>
              </w:rPr>
              <w:t>5</w:t>
            </w:r>
            <w:r>
              <w:rPr>
                <w:noProof/>
                <w:webHidden/>
              </w:rPr>
              <w:fldChar w:fldCharType="end"/>
            </w:r>
          </w:hyperlink>
        </w:p>
        <w:p w14:paraId="14E476D6" w14:textId="49A671EB"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7" w:history="1">
            <w:r w:rsidRPr="000E6DA6">
              <w:rPr>
                <w:rStyle w:val="Hyperlink"/>
                <w:noProof/>
              </w:rPr>
              <w:t>Access to EU Traces</w:t>
            </w:r>
            <w:r>
              <w:rPr>
                <w:noProof/>
                <w:webHidden/>
              </w:rPr>
              <w:tab/>
            </w:r>
            <w:r>
              <w:rPr>
                <w:noProof/>
                <w:webHidden/>
              </w:rPr>
              <w:fldChar w:fldCharType="begin"/>
            </w:r>
            <w:r>
              <w:rPr>
                <w:noProof/>
                <w:webHidden/>
              </w:rPr>
              <w:instrText xml:space="preserve"> PAGEREF _Toc237262937 \h </w:instrText>
            </w:r>
            <w:r>
              <w:rPr>
                <w:noProof/>
                <w:webHidden/>
              </w:rPr>
            </w:r>
            <w:r>
              <w:rPr>
                <w:noProof/>
                <w:webHidden/>
              </w:rPr>
              <w:fldChar w:fldCharType="separate"/>
            </w:r>
            <w:r>
              <w:rPr>
                <w:noProof/>
                <w:webHidden/>
              </w:rPr>
              <w:t>5</w:t>
            </w:r>
            <w:r>
              <w:rPr>
                <w:noProof/>
                <w:webHidden/>
              </w:rPr>
              <w:fldChar w:fldCharType="end"/>
            </w:r>
          </w:hyperlink>
        </w:p>
        <w:p w14:paraId="1BAFA578" w14:textId="21639858"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8" w:history="1">
            <w:r w:rsidRPr="000E6DA6">
              <w:rPr>
                <w:rStyle w:val="Hyperlink"/>
                <w:noProof/>
              </w:rPr>
              <w:t>How to apply for a Northern Ireland XI EORI Number</w:t>
            </w:r>
            <w:r>
              <w:rPr>
                <w:noProof/>
                <w:webHidden/>
              </w:rPr>
              <w:tab/>
            </w:r>
            <w:r>
              <w:rPr>
                <w:noProof/>
                <w:webHidden/>
              </w:rPr>
              <w:fldChar w:fldCharType="begin"/>
            </w:r>
            <w:r>
              <w:rPr>
                <w:noProof/>
                <w:webHidden/>
              </w:rPr>
              <w:instrText xml:space="preserve"> PAGEREF _Toc237262938 \h </w:instrText>
            </w:r>
            <w:r>
              <w:rPr>
                <w:noProof/>
                <w:webHidden/>
              </w:rPr>
            </w:r>
            <w:r>
              <w:rPr>
                <w:noProof/>
                <w:webHidden/>
              </w:rPr>
              <w:fldChar w:fldCharType="separate"/>
            </w:r>
            <w:r>
              <w:rPr>
                <w:noProof/>
                <w:webHidden/>
              </w:rPr>
              <w:t>5</w:t>
            </w:r>
            <w:r>
              <w:rPr>
                <w:noProof/>
                <w:webHidden/>
              </w:rPr>
              <w:fldChar w:fldCharType="end"/>
            </w:r>
          </w:hyperlink>
        </w:p>
        <w:p w14:paraId="3C6BA923" w14:textId="748D1475"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39" w:history="1">
            <w:r w:rsidRPr="000E6DA6">
              <w:rPr>
                <w:rStyle w:val="Hyperlink"/>
                <w:noProof/>
              </w:rPr>
              <w:t>How to obtain approval to access EU Traces</w:t>
            </w:r>
            <w:r>
              <w:rPr>
                <w:noProof/>
                <w:webHidden/>
              </w:rPr>
              <w:tab/>
            </w:r>
            <w:r>
              <w:rPr>
                <w:noProof/>
                <w:webHidden/>
              </w:rPr>
              <w:fldChar w:fldCharType="begin"/>
            </w:r>
            <w:r>
              <w:rPr>
                <w:noProof/>
                <w:webHidden/>
              </w:rPr>
              <w:instrText xml:space="preserve"> PAGEREF _Toc237262939 \h </w:instrText>
            </w:r>
            <w:r>
              <w:rPr>
                <w:noProof/>
                <w:webHidden/>
              </w:rPr>
            </w:r>
            <w:r>
              <w:rPr>
                <w:noProof/>
                <w:webHidden/>
              </w:rPr>
              <w:fldChar w:fldCharType="separate"/>
            </w:r>
            <w:r>
              <w:rPr>
                <w:noProof/>
                <w:webHidden/>
              </w:rPr>
              <w:t>6</w:t>
            </w:r>
            <w:r>
              <w:rPr>
                <w:noProof/>
                <w:webHidden/>
              </w:rPr>
              <w:fldChar w:fldCharType="end"/>
            </w:r>
          </w:hyperlink>
        </w:p>
        <w:p w14:paraId="09447491" w14:textId="144E49A0"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0" w:history="1">
            <w:r w:rsidRPr="000E6DA6">
              <w:rPr>
                <w:rStyle w:val="Hyperlink"/>
                <w:noProof/>
              </w:rPr>
              <w:t>How to create a Due Diligence Statement (DDS)</w:t>
            </w:r>
            <w:r>
              <w:rPr>
                <w:noProof/>
                <w:webHidden/>
              </w:rPr>
              <w:tab/>
            </w:r>
            <w:r>
              <w:rPr>
                <w:noProof/>
                <w:webHidden/>
              </w:rPr>
              <w:fldChar w:fldCharType="begin"/>
            </w:r>
            <w:r>
              <w:rPr>
                <w:noProof/>
                <w:webHidden/>
              </w:rPr>
              <w:instrText xml:space="preserve"> PAGEREF _Toc237262940 \h </w:instrText>
            </w:r>
            <w:r>
              <w:rPr>
                <w:noProof/>
                <w:webHidden/>
              </w:rPr>
            </w:r>
            <w:r>
              <w:rPr>
                <w:noProof/>
                <w:webHidden/>
              </w:rPr>
              <w:fldChar w:fldCharType="separate"/>
            </w:r>
            <w:r>
              <w:rPr>
                <w:noProof/>
                <w:webHidden/>
              </w:rPr>
              <w:t>6</w:t>
            </w:r>
            <w:r>
              <w:rPr>
                <w:noProof/>
                <w:webHidden/>
              </w:rPr>
              <w:fldChar w:fldCharType="end"/>
            </w:r>
          </w:hyperlink>
        </w:p>
        <w:p w14:paraId="223891C7" w14:textId="1D33731D"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1" w:history="1">
            <w:r w:rsidRPr="000E6DA6">
              <w:rPr>
                <w:rStyle w:val="Hyperlink"/>
                <w:noProof/>
              </w:rPr>
              <w:t>Data maps and explanations</w:t>
            </w:r>
            <w:r>
              <w:rPr>
                <w:noProof/>
                <w:webHidden/>
              </w:rPr>
              <w:tab/>
            </w:r>
            <w:r>
              <w:rPr>
                <w:noProof/>
                <w:webHidden/>
              </w:rPr>
              <w:fldChar w:fldCharType="begin"/>
            </w:r>
            <w:r>
              <w:rPr>
                <w:noProof/>
                <w:webHidden/>
              </w:rPr>
              <w:instrText xml:space="preserve"> PAGEREF _Toc237262941 \h </w:instrText>
            </w:r>
            <w:r>
              <w:rPr>
                <w:noProof/>
                <w:webHidden/>
              </w:rPr>
            </w:r>
            <w:r>
              <w:rPr>
                <w:noProof/>
                <w:webHidden/>
              </w:rPr>
              <w:fldChar w:fldCharType="separate"/>
            </w:r>
            <w:r>
              <w:rPr>
                <w:noProof/>
                <w:webHidden/>
              </w:rPr>
              <w:t>8</w:t>
            </w:r>
            <w:r>
              <w:rPr>
                <w:noProof/>
                <w:webHidden/>
              </w:rPr>
              <w:fldChar w:fldCharType="end"/>
            </w:r>
          </w:hyperlink>
        </w:p>
        <w:p w14:paraId="6F3D547C" w14:textId="2DAF1322"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2" w:history="1">
            <w:r w:rsidRPr="000E6DA6">
              <w:rPr>
                <w:rStyle w:val="Hyperlink"/>
                <w:noProof/>
              </w:rPr>
              <w:t>Product printed in the UK on EU components</w:t>
            </w:r>
            <w:r>
              <w:rPr>
                <w:noProof/>
                <w:webHidden/>
              </w:rPr>
              <w:tab/>
            </w:r>
            <w:r>
              <w:rPr>
                <w:noProof/>
                <w:webHidden/>
              </w:rPr>
              <w:fldChar w:fldCharType="begin"/>
            </w:r>
            <w:r>
              <w:rPr>
                <w:noProof/>
                <w:webHidden/>
              </w:rPr>
              <w:instrText xml:space="preserve"> PAGEREF _Toc237262942 \h </w:instrText>
            </w:r>
            <w:r>
              <w:rPr>
                <w:noProof/>
                <w:webHidden/>
              </w:rPr>
            </w:r>
            <w:r>
              <w:rPr>
                <w:noProof/>
                <w:webHidden/>
              </w:rPr>
              <w:fldChar w:fldCharType="separate"/>
            </w:r>
            <w:r>
              <w:rPr>
                <w:noProof/>
                <w:webHidden/>
              </w:rPr>
              <w:t>9</w:t>
            </w:r>
            <w:r>
              <w:rPr>
                <w:noProof/>
                <w:webHidden/>
              </w:rPr>
              <w:fldChar w:fldCharType="end"/>
            </w:r>
          </w:hyperlink>
        </w:p>
        <w:p w14:paraId="1EDF070B" w14:textId="67A5D719"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3" w:history="1">
            <w:r w:rsidRPr="000E6DA6">
              <w:rPr>
                <w:rStyle w:val="Hyperlink"/>
                <w:noProof/>
              </w:rPr>
              <w:t>Product from ROW to the UK</w:t>
            </w:r>
            <w:r>
              <w:rPr>
                <w:noProof/>
                <w:webHidden/>
              </w:rPr>
              <w:tab/>
            </w:r>
            <w:r>
              <w:rPr>
                <w:noProof/>
                <w:webHidden/>
              </w:rPr>
              <w:fldChar w:fldCharType="begin"/>
            </w:r>
            <w:r>
              <w:rPr>
                <w:noProof/>
                <w:webHidden/>
              </w:rPr>
              <w:instrText xml:space="preserve"> PAGEREF _Toc237262943 \h </w:instrText>
            </w:r>
            <w:r>
              <w:rPr>
                <w:noProof/>
                <w:webHidden/>
              </w:rPr>
            </w:r>
            <w:r>
              <w:rPr>
                <w:noProof/>
                <w:webHidden/>
              </w:rPr>
              <w:fldChar w:fldCharType="separate"/>
            </w:r>
            <w:r>
              <w:rPr>
                <w:noProof/>
                <w:webHidden/>
              </w:rPr>
              <w:t>9</w:t>
            </w:r>
            <w:r>
              <w:rPr>
                <w:noProof/>
                <w:webHidden/>
              </w:rPr>
              <w:fldChar w:fldCharType="end"/>
            </w:r>
          </w:hyperlink>
        </w:p>
        <w:p w14:paraId="6D1DFD58" w14:textId="25B19D1E"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4" w:history="1">
            <w:r w:rsidRPr="000E6DA6">
              <w:rPr>
                <w:rStyle w:val="Hyperlink"/>
                <w:noProof/>
              </w:rPr>
              <w:t>Product from ROW to EU Customer</w:t>
            </w:r>
            <w:r>
              <w:rPr>
                <w:noProof/>
                <w:webHidden/>
              </w:rPr>
              <w:tab/>
            </w:r>
            <w:r>
              <w:rPr>
                <w:noProof/>
                <w:webHidden/>
              </w:rPr>
              <w:fldChar w:fldCharType="begin"/>
            </w:r>
            <w:r>
              <w:rPr>
                <w:noProof/>
                <w:webHidden/>
              </w:rPr>
              <w:instrText xml:space="preserve"> PAGEREF _Toc237262944 \h </w:instrText>
            </w:r>
            <w:r>
              <w:rPr>
                <w:noProof/>
                <w:webHidden/>
              </w:rPr>
            </w:r>
            <w:r>
              <w:rPr>
                <w:noProof/>
                <w:webHidden/>
              </w:rPr>
              <w:fldChar w:fldCharType="separate"/>
            </w:r>
            <w:r>
              <w:rPr>
                <w:noProof/>
                <w:webHidden/>
              </w:rPr>
              <w:t>10</w:t>
            </w:r>
            <w:r>
              <w:rPr>
                <w:noProof/>
                <w:webHidden/>
              </w:rPr>
              <w:fldChar w:fldCharType="end"/>
            </w:r>
          </w:hyperlink>
        </w:p>
        <w:p w14:paraId="328D1CB2" w14:textId="5C70E909"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5" w:history="1">
            <w:r w:rsidRPr="000E6DA6">
              <w:rPr>
                <w:rStyle w:val="Hyperlink"/>
                <w:noProof/>
              </w:rPr>
              <w:t>POD Data route of supply</w:t>
            </w:r>
            <w:r>
              <w:rPr>
                <w:noProof/>
                <w:webHidden/>
              </w:rPr>
              <w:tab/>
            </w:r>
            <w:r>
              <w:rPr>
                <w:noProof/>
                <w:webHidden/>
              </w:rPr>
              <w:fldChar w:fldCharType="begin"/>
            </w:r>
            <w:r>
              <w:rPr>
                <w:noProof/>
                <w:webHidden/>
              </w:rPr>
              <w:instrText xml:space="preserve"> PAGEREF _Toc237262945 \h </w:instrText>
            </w:r>
            <w:r>
              <w:rPr>
                <w:noProof/>
                <w:webHidden/>
              </w:rPr>
            </w:r>
            <w:r>
              <w:rPr>
                <w:noProof/>
                <w:webHidden/>
              </w:rPr>
              <w:fldChar w:fldCharType="separate"/>
            </w:r>
            <w:r>
              <w:rPr>
                <w:noProof/>
                <w:webHidden/>
              </w:rPr>
              <w:t>10</w:t>
            </w:r>
            <w:r>
              <w:rPr>
                <w:noProof/>
                <w:webHidden/>
              </w:rPr>
              <w:fldChar w:fldCharType="end"/>
            </w:r>
          </w:hyperlink>
        </w:p>
        <w:p w14:paraId="6A9298BA" w14:textId="52469E0B"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6" w:history="1">
            <w:r w:rsidRPr="000E6DA6">
              <w:rPr>
                <w:rStyle w:val="Hyperlink"/>
                <w:noProof/>
              </w:rPr>
              <w:t>Information on what EUDR data Chinese mills can provide</w:t>
            </w:r>
            <w:r>
              <w:rPr>
                <w:noProof/>
                <w:webHidden/>
              </w:rPr>
              <w:tab/>
            </w:r>
            <w:r>
              <w:rPr>
                <w:noProof/>
                <w:webHidden/>
              </w:rPr>
              <w:fldChar w:fldCharType="begin"/>
            </w:r>
            <w:r>
              <w:rPr>
                <w:noProof/>
                <w:webHidden/>
              </w:rPr>
              <w:instrText xml:space="preserve"> PAGEREF _Toc237262946 \h </w:instrText>
            </w:r>
            <w:r>
              <w:rPr>
                <w:noProof/>
                <w:webHidden/>
              </w:rPr>
            </w:r>
            <w:r>
              <w:rPr>
                <w:noProof/>
                <w:webHidden/>
              </w:rPr>
              <w:fldChar w:fldCharType="separate"/>
            </w:r>
            <w:r>
              <w:rPr>
                <w:noProof/>
                <w:webHidden/>
              </w:rPr>
              <w:t>11</w:t>
            </w:r>
            <w:r>
              <w:rPr>
                <w:noProof/>
                <w:webHidden/>
              </w:rPr>
              <w:fldChar w:fldCharType="end"/>
            </w:r>
          </w:hyperlink>
        </w:p>
        <w:p w14:paraId="14F9FD07" w14:textId="3354E092"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7" w:history="1">
            <w:r w:rsidRPr="000E6DA6">
              <w:rPr>
                <w:rStyle w:val="Hyperlink"/>
                <w:noProof/>
              </w:rPr>
              <w:t>Chinese laws covering the supply of data</w:t>
            </w:r>
            <w:r>
              <w:rPr>
                <w:noProof/>
                <w:webHidden/>
              </w:rPr>
              <w:tab/>
            </w:r>
            <w:r>
              <w:rPr>
                <w:noProof/>
                <w:webHidden/>
              </w:rPr>
              <w:fldChar w:fldCharType="begin"/>
            </w:r>
            <w:r>
              <w:rPr>
                <w:noProof/>
                <w:webHidden/>
              </w:rPr>
              <w:instrText xml:space="preserve"> PAGEREF _Toc237262947 \h </w:instrText>
            </w:r>
            <w:r>
              <w:rPr>
                <w:noProof/>
                <w:webHidden/>
              </w:rPr>
            </w:r>
            <w:r>
              <w:rPr>
                <w:noProof/>
                <w:webHidden/>
              </w:rPr>
              <w:fldChar w:fldCharType="separate"/>
            </w:r>
            <w:r>
              <w:rPr>
                <w:noProof/>
                <w:webHidden/>
              </w:rPr>
              <w:t>11</w:t>
            </w:r>
            <w:r>
              <w:rPr>
                <w:noProof/>
                <w:webHidden/>
              </w:rPr>
              <w:fldChar w:fldCharType="end"/>
            </w:r>
          </w:hyperlink>
        </w:p>
        <w:p w14:paraId="556CA6C5" w14:textId="35EA75B9"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8" w:history="1">
            <w:r w:rsidRPr="000E6DA6">
              <w:rPr>
                <w:rStyle w:val="Hyperlink"/>
                <w:noProof/>
              </w:rPr>
              <w:t>1. Surveying &amp; Mapping Law</w:t>
            </w:r>
            <w:r>
              <w:rPr>
                <w:noProof/>
                <w:webHidden/>
              </w:rPr>
              <w:tab/>
            </w:r>
            <w:r>
              <w:rPr>
                <w:noProof/>
                <w:webHidden/>
              </w:rPr>
              <w:fldChar w:fldCharType="begin"/>
            </w:r>
            <w:r>
              <w:rPr>
                <w:noProof/>
                <w:webHidden/>
              </w:rPr>
              <w:instrText xml:space="preserve"> PAGEREF _Toc237262948 \h </w:instrText>
            </w:r>
            <w:r>
              <w:rPr>
                <w:noProof/>
                <w:webHidden/>
              </w:rPr>
            </w:r>
            <w:r>
              <w:rPr>
                <w:noProof/>
                <w:webHidden/>
              </w:rPr>
              <w:fldChar w:fldCharType="separate"/>
            </w:r>
            <w:r>
              <w:rPr>
                <w:noProof/>
                <w:webHidden/>
              </w:rPr>
              <w:t>11</w:t>
            </w:r>
            <w:r>
              <w:rPr>
                <w:noProof/>
                <w:webHidden/>
              </w:rPr>
              <w:fldChar w:fldCharType="end"/>
            </w:r>
          </w:hyperlink>
        </w:p>
        <w:p w14:paraId="4446BA5E" w14:textId="32D652EB"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49" w:history="1">
            <w:r w:rsidRPr="000E6DA6">
              <w:rPr>
                <w:rStyle w:val="Hyperlink"/>
                <w:noProof/>
              </w:rPr>
              <w:t>2. Data Security Law (DSL)</w:t>
            </w:r>
            <w:r>
              <w:rPr>
                <w:noProof/>
                <w:webHidden/>
              </w:rPr>
              <w:tab/>
            </w:r>
            <w:r>
              <w:rPr>
                <w:noProof/>
                <w:webHidden/>
              </w:rPr>
              <w:fldChar w:fldCharType="begin"/>
            </w:r>
            <w:r>
              <w:rPr>
                <w:noProof/>
                <w:webHidden/>
              </w:rPr>
              <w:instrText xml:space="preserve"> PAGEREF _Toc237262949 \h </w:instrText>
            </w:r>
            <w:r>
              <w:rPr>
                <w:noProof/>
                <w:webHidden/>
              </w:rPr>
            </w:r>
            <w:r>
              <w:rPr>
                <w:noProof/>
                <w:webHidden/>
              </w:rPr>
              <w:fldChar w:fldCharType="separate"/>
            </w:r>
            <w:r>
              <w:rPr>
                <w:noProof/>
                <w:webHidden/>
              </w:rPr>
              <w:t>11</w:t>
            </w:r>
            <w:r>
              <w:rPr>
                <w:noProof/>
                <w:webHidden/>
              </w:rPr>
              <w:fldChar w:fldCharType="end"/>
            </w:r>
          </w:hyperlink>
        </w:p>
        <w:p w14:paraId="68688A14" w14:textId="6E8B9330"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0" w:history="1">
            <w:r w:rsidRPr="000E6DA6">
              <w:rPr>
                <w:rStyle w:val="Hyperlink"/>
                <w:noProof/>
              </w:rPr>
              <w:t>3. Personal Information Protection Law (PIPL)</w:t>
            </w:r>
            <w:r>
              <w:rPr>
                <w:noProof/>
                <w:webHidden/>
              </w:rPr>
              <w:tab/>
            </w:r>
            <w:r>
              <w:rPr>
                <w:noProof/>
                <w:webHidden/>
              </w:rPr>
              <w:fldChar w:fldCharType="begin"/>
            </w:r>
            <w:r>
              <w:rPr>
                <w:noProof/>
                <w:webHidden/>
              </w:rPr>
              <w:instrText xml:space="preserve"> PAGEREF _Toc237262950 \h </w:instrText>
            </w:r>
            <w:r>
              <w:rPr>
                <w:noProof/>
                <w:webHidden/>
              </w:rPr>
            </w:r>
            <w:r>
              <w:rPr>
                <w:noProof/>
                <w:webHidden/>
              </w:rPr>
              <w:fldChar w:fldCharType="separate"/>
            </w:r>
            <w:r>
              <w:rPr>
                <w:noProof/>
                <w:webHidden/>
              </w:rPr>
              <w:t>12</w:t>
            </w:r>
            <w:r>
              <w:rPr>
                <w:noProof/>
                <w:webHidden/>
              </w:rPr>
              <w:fldChar w:fldCharType="end"/>
            </w:r>
          </w:hyperlink>
        </w:p>
        <w:p w14:paraId="0D860A9E" w14:textId="7107898D"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1" w:history="1">
            <w:r w:rsidRPr="000E6DA6">
              <w:rPr>
                <w:rStyle w:val="Hyperlink"/>
                <w:noProof/>
              </w:rPr>
              <w:t>The main thing to understand is:</w:t>
            </w:r>
            <w:r>
              <w:rPr>
                <w:noProof/>
                <w:webHidden/>
              </w:rPr>
              <w:tab/>
            </w:r>
            <w:r>
              <w:rPr>
                <w:noProof/>
                <w:webHidden/>
              </w:rPr>
              <w:fldChar w:fldCharType="begin"/>
            </w:r>
            <w:r>
              <w:rPr>
                <w:noProof/>
                <w:webHidden/>
              </w:rPr>
              <w:instrText xml:space="preserve"> PAGEREF _Toc237262951 \h </w:instrText>
            </w:r>
            <w:r>
              <w:rPr>
                <w:noProof/>
                <w:webHidden/>
              </w:rPr>
            </w:r>
            <w:r>
              <w:rPr>
                <w:noProof/>
                <w:webHidden/>
              </w:rPr>
              <w:fldChar w:fldCharType="separate"/>
            </w:r>
            <w:r>
              <w:rPr>
                <w:noProof/>
                <w:webHidden/>
              </w:rPr>
              <w:t>12</w:t>
            </w:r>
            <w:r>
              <w:rPr>
                <w:noProof/>
                <w:webHidden/>
              </w:rPr>
              <w:fldChar w:fldCharType="end"/>
            </w:r>
          </w:hyperlink>
        </w:p>
        <w:p w14:paraId="6A5211B5" w14:textId="0CF47B4C" w:rsidR="00893C60" w:rsidRDefault="00893C60">
          <w:pPr>
            <w:pStyle w:val="TOC3"/>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2" w:history="1">
            <w:r w:rsidRPr="000E6DA6">
              <w:rPr>
                <w:rStyle w:val="Hyperlink"/>
                <w:noProof/>
              </w:rPr>
              <w:t>What should organisations do now:</w:t>
            </w:r>
            <w:r>
              <w:rPr>
                <w:noProof/>
                <w:webHidden/>
              </w:rPr>
              <w:tab/>
            </w:r>
            <w:r>
              <w:rPr>
                <w:noProof/>
                <w:webHidden/>
              </w:rPr>
              <w:fldChar w:fldCharType="begin"/>
            </w:r>
            <w:r>
              <w:rPr>
                <w:noProof/>
                <w:webHidden/>
              </w:rPr>
              <w:instrText xml:space="preserve"> PAGEREF _Toc237262952 \h </w:instrText>
            </w:r>
            <w:r>
              <w:rPr>
                <w:noProof/>
                <w:webHidden/>
              </w:rPr>
            </w:r>
            <w:r>
              <w:rPr>
                <w:noProof/>
                <w:webHidden/>
              </w:rPr>
              <w:fldChar w:fldCharType="separate"/>
            </w:r>
            <w:r>
              <w:rPr>
                <w:noProof/>
                <w:webHidden/>
              </w:rPr>
              <w:t>12</w:t>
            </w:r>
            <w:r>
              <w:rPr>
                <w:noProof/>
                <w:webHidden/>
              </w:rPr>
              <w:fldChar w:fldCharType="end"/>
            </w:r>
          </w:hyperlink>
        </w:p>
        <w:p w14:paraId="697E4370" w14:textId="76A1E44A"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3" w:history="1">
            <w:r w:rsidRPr="000E6DA6">
              <w:rPr>
                <w:rStyle w:val="Hyperlink"/>
                <w:noProof/>
              </w:rPr>
              <w:t>Information on what EUDR data US mills can provide</w:t>
            </w:r>
            <w:r>
              <w:rPr>
                <w:noProof/>
                <w:webHidden/>
              </w:rPr>
              <w:tab/>
            </w:r>
            <w:r>
              <w:rPr>
                <w:noProof/>
                <w:webHidden/>
              </w:rPr>
              <w:fldChar w:fldCharType="begin"/>
            </w:r>
            <w:r>
              <w:rPr>
                <w:noProof/>
                <w:webHidden/>
              </w:rPr>
              <w:instrText xml:space="preserve"> PAGEREF _Toc237262953 \h </w:instrText>
            </w:r>
            <w:r>
              <w:rPr>
                <w:noProof/>
                <w:webHidden/>
              </w:rPr>
            </w:r>
            <w:r>
              <w:rPr>
                <w:noProof/>
                <w:webHidden/>
              </w:rPr>
              <w:fldChar w:fldCharType="separate"/>
            </w:r>
            <w:r>
              <w:rPr>
                <w:noProof/>
                <w:webHidden/>
              </w:rPr>
              <w:t>13</w:t>
            </w:r>
            <w:r>
              <w:rPr>
                <w:noProof/>
                <w:webHidden/>
              </w:rPr>
              <w:fldChar w:fldCharType="end"/>
            </w:r>
          </w:hyperlink>
        </w:p>
        <w:p w14:paraId="2BEE151A" w14:textId="4BE425BD"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4" w:history="1">
            <w:r w:rsidRPr="000E6DA6">
              <w:rPr>
                <w:rStyle w:val="Hyperlink"/>
                <w:noProof/>
              </w:rPr>
              <w:t>Information on what EUDR data Indian printers provide</w:t>
            </w:r>
            <w:r>
              <w:rPr>
                <w:noProof/>
                <w:webHidden/>
              </w:rPr>
              <w:tab/>
            </w:r>
            <w:r>
              <w:rPr>
                <w:noProof/>
                <w:webHidden/>
              </w:rPr>
              <w:fldChar w:fldCharType="begin"/>
            </w:r>
            <w:r>
              <w:rPr>
                <w:noProof/>
                <w:webHidden/>
              </w:rPr>
              <w:instrText xml:space="preserve"> PAGEREF _Toc237262954 \h </w:instrText>
            </w:r>
            <w:r>
              <w:rPr>
                <w:noProof/>
                <w:webHidden/>
              </w:rPr>
            </w:r>
            <w:r>
              <w:rPr>
                <w:noProof/>
                <w:webHidden/>
              </w:rPr>
              <w:fldChar w:fldCharType="separate"/>
            </w:r>
            <w:r>
              <w:rPr>
                <w:noProof/>
                <w:webHidden/>
              </w:rPr>
              <w:t>13</w:t>
            </w:r>
            <w:r>
              <w:rPr>
                <w:noProof/>
                <w:webHidden/>
              </w:rPr>
              <w:fldChar w:fldCharType="end"/>
            </w:r>
          </w:hyperlink>
        </w:p>
        <w:p w14:paraId="67AC521F" w14:textId="34B338D2"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5" w:history="1">
            <w:r w:rsidRPr="000E6DA6">
              <w:rPr>
                <w:rStyle w:val="Hyperlink"/>
                <w:noProof/>
              </w:rPr>
              <w:t>Shipping requirements, documentation and specific EUDR TARIC codes</w:t>
            </w:r>
            <w:r>
              <w:rPr>
                <w:noProof/>
                <w:webHidden/>
              </w:rPr>
              <w:tab/>
            </w:r>
            <w:r>
              <w:rPr>
                <w:noProof/>
                <w:webHidden/>
              </w:rPr>
              <w:fldChar w:fldCharType="begin"/>
            </w:r>
            <w:r>
              <w:rPr>
                <w:noProof/>
                <w:webHidden/>
              </w:rPr>
              <w:instrText xml:space="preserve"> PAGEREF _Toc237262955 \h </w:instrText>
            </w:r>
            <w:r>
              <w:rPr>
                <w:noProof/>
                <w:webHidden/>
              </w:rPr>
            </w:r>
            <w:r>
              <w:rPr>
                <w:noProof/>
                <w:webHidden/>
              </w:rPr>
              <w:fldChar w:fldCharType="separate"/>
            </w:r>
            <w:r>
              <w:rPr>
                <w:noProof/>
                <w:webHidden/>
              </w:rPr>
              <w:t>14</w:t>
            </w:r>
            <w:r>
              <w:rPr>
                <w:noProof/>
                <w:webHidden/>
              </w:rPr>
              <w:fldChar w:fldCharType="end"/>
            </w:r>
          </w:hyperlink>
        </w:p>
        <w:p w14:paraId="58D75AA2" w14:textId="07526692"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6" w:history="1">
            <w:r w:rsidRPr="000E6DA6">
              <w:rPr>
                <w:rStyle w:val="Hyperlink"/>
                <w:noProof/>
              </w:rPr>
              <w:t>EORI (Economic Operators Registration and Identification) number:</w:t>
            </w:r>
            <w:r>
              <w:rPr>
                <w:noProof/>
                <w:webHidden/>
              </w:rPr>
              <w:tab/>
            </w:r>
            <w:r>
              <w:rPr>
                <w:noProof/>
                <w:webHidden/>
              </w:rPr>
              <w:fldChar w:fldCharType="begin"/>
            </w:r>
            <w:r>
              <w:rPr>
                <w:noProof/>
                <w:webHidden/>
              </w:rPr>
              <w:instrText xml:space="preserve"> PAGEREF _Toc237262956 \h </w:instrText>
            </w:r>
            <w:r>
              <w:rPr>
                <w:noProof/>
                <w:webHidden/>
              </w:rPr>
            </w:r>
            <w:r>
              <w:rPr>
                <w:noProof/>
                <w:webHidden/>
              </w:rPr>
              <w:fldChar w:fldCharType="separate"/>
            </w:r>
            <w:r>
              <w:rPr>
                <w:noProof/>
                <w:webHidden/>
              </w:rPr>
              <w:t>14</w:t>
            </w:r>
            <w:r>
              <w:rPr>
                <w:noProof/>
                <w:webHidden/>
              </w:rPr>
              <w:fldChar w:fldCharType="end"/>
            </w:r>
          </w:hyperlink>
        </w:p>
        <w:p w14:paraId="58BCDDDB" w14:textId="462A24D3"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7" w:history="1">
            <w:r w:rsidRPr="000E6DA6">
              <w:rPr>
                <w:rStyle w:val="Hyperlink"/>
                <w:noProof/>
              </w:rPr>
              <w:t>Personal use exception:</w:t>
            </w:r>
            <w:r>
              <w:rPr>
                <w:noProof/>
                <w:webHidden/>
              </w:rPr>
              <w:tab/>
            </w:r>
            <w:r>
              <w:rPr>
                <w:noProof/>
                <w:webHidden/>
              </w:rPr>
              <w:fldChar w:fldCharType="begin"/>
            </w:r>
            <w:r>
              <w:rPr>
                <w:noProof/>
                <w:webHidden/>
              </w:rPr>
              <w:instrText xml:space="preserve"> PAGEREF _Toc237262957 \h </w:instrText>
            </w:r>
            <w:r>
              <w:rPr>
                <w:noProof/>
                <w:webHidden/>
              </w:rPr>
            </w:r>
            <w:r>
              <w:rPr>
                <w:noProof/>
                <w:webHidden/>
              </w:rPr>
              <w:fldChar w:fldCharType="separate"/>
            </w:r>
            <w:r>
              <w:rPr>
                <w:noProof/>
                <w:webHidden/>
              </w:rPr>
              <w:t>14</w:t>
            </w:r>
            <w:r>
              <w:rPr>
                <w:noProof/>
                <w:webHidden/>
              </w:rPr>
              <w:fldChar w:fldCharType="end"/>
            </w:r>
          </w:hyperlink>
        </w:p>
        <w:p w14:paraId="6097EEB4" w14:textId="2559BD15"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8" w:history="1">
            <w:r w:rsidRPr="000E6DA6">
              <w:rPr>
                <w:rStyle w:val="Hyperlink"/>
                <w:noProof/>
              </w:rPr>
              <w:t>When you might need an EORI:</w:t>
            </w:r>
            <w:r>
              <w:rPr>
                <w:noProof/>
                <w:webHidden/>
              </w:rPr>
              <w:tab/>
            </w:r>
            <w:r>
              <w:rPr>
                <w:noProof/>
                <w:webHidden/>
              </w:rPr>
              <w:fldChar w:fldCharType="begin"/>
            </w:r>
            <w:r>
              <w:rPr>
                <w:noProof/>
                <w:webHidden/>
              </w:rPr>
              <w:instrText xml:space="preserve"> PAGEREF _Toc237262958 \h </w:instrText>
            </w:r>
            <w:r>
              <w:rPr>
                <w:noProof/>
                <w:webHidden/>
              </w:rPr>
            </w:r>
            <w:r>
              <w:rPr>
                <w:noProof/>
                <w:webHidden/>
              </w:rPr>
              <w:fldChar w:fldCharType="separate"/>
            </w:r>
            <w:r>
              <w:rPr>
                <w:noProof/>
                <w:webHidden/>
              </w:rPr>
              <w:t>14</w:t>
            </w:r>
            <w:r>
              <w:rPr>
                <w:noProof/>
                <w:webHidden/>
              </w:rPr>
              <w:fldChar w:fldCharType="end"/>
            </w:r>
          </w:hyperlink>
        </w:p>
        <w:p w14:paraId="3FAD488E" w14:textId="653FE6DA"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59" w:history="1">
            <w:r w:rsidRPr="000E6DA6">
              <w:rPr>
                <w:rStyle w:val="Hyperlink"/>
                <w:noProof/>
              </w:rPr>
              <w:t>Example:</w:t>
            </w:r>
            <w:r>
              <w:rPr>
                <w:noProof/>
                <w:webHidden/>
              </w:rPr>
              <w:tab/>
            </w:r>
            <w:r>
              <w:rPr>
                <w:noProof/>
                <w:webHidden/>
              </w:rPr>
              <w:fldChar w:fldCharType="begin"/>
            </w:r>
            <w:r>
              <w:rPr>
                <w:noProof/>
                <w:webHidden/>
              </w:rPr>
              <w:instrText xml:space="preserve"> PAGEREF _Toc237262959 \h </w:instrText>
            </w:r>
            <w:r>
              <w:rPr>
                <w:noProof/>
                <w:webHidden/>
              </w:rPr>
            </w:r>
            <w:r>
              <w:rPr>
                <w:noProof/>
                <w:webHidden/>
              </w:rPr>
              <w:fldChar w:fldCharType="separate"/>
            </w:r>
            <w:r>
              <w:rPr>
                <w:noProof/>
                <w:webHidden/>
              </w:rPr>
              <w:t>14</w:t>
            </w:r>
            <w:r>
              <w:rPr>
                <w:noProof/>
                <w:webHidden/>
              </w:rPr>
              <w:fldChar w:fldCharType="end"/>
            </w:r>
          </w:hyperlink>
        </w:p>
        <w:p w14:paraId="75C54F44" w14:textId="05C46A1D"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0" w:history="1">
            <w:r w:rsidRPr="000E6DA6">
              <w:rPr>
                <w:rStyle w:val="Hyperlink"/>
                <w:noProof/>
              </w:rPr>
              <w:t>EUDR specific TARIC codes</w:t>
            </w:r>
            <w:r>
              <w:rPr>
                <w:noProof/>
                <w:webHidden/>
              </w:rPr>
              <w:tab/>
            </w:r>
            <w:r>
              <w:rPr>
                <w:noProof/>
                <w:webHidden/>
              </w:rPr>
              <w:fldChar w:fldCharType="begin"/>
            </w:r>
            <w:r>
              <w:rPr>
                <w:noProof/>
                <w:webHidden/>
              </w:rPr>
              <w:instrText xml:space="preserve"> PAGEREF _Toc237262960 \h </w:instrText>
            </w:r>
            <w:r>
              <w:rPr>
                <w:noProof/>
                <w:webHidden/>
              </w:rPr>
            </w:r>
            <w:r>
              <w:rPr>
                <w:noProof/>
                <w:webHidden/>
              </w:rPr>
              <w:fldChar w:fldCharType="separate"/>
            </w:r>
            <w:r>
              <w:rPr>
                <w:noProof/>
                <w:webHidden/>
              </w:rPr>
              <w:t>14</w:t>
            </w:r>
            <w:r>
              <w:rPr>
                <w:noProof/>
                <w:webHidden/>
              </w:rPr>
              <w:fldChar w:fldCharType="end"/>
            </w:r>
          </w:hyperlink>
        </w:p>
        <w:p w14:paraId="2D7EE22F" w14:textId="16F0213B"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1" w:history="1">
            <w:r w:rsidRPr="000E6DA6">
              <w:rPr>
                <w:rStyle w:val="Hyperlink"/>
                <w:noProof/>
                <w:lang w:val="en-IE"/>
              </w:rPr>
              <w:t>Incoterms relating to EUDR</w:t>
            </w:r>
            <w:r>
              <w:rPr>
                <w:noProof/>
                <w:webHidden/>
              </w:rPr>
              <w:tab/>
            </w:r>
            <w:r>
              <w:rPr>
                <w:noProof/>
                <w:webHidden/>
              </w:rPr>
              <w:fldChar w:fldCharType="begin"/>
            </w:r>
            <w:r>
              <w:rPr>
                <w:noProof/>
                <w:webHidden/>
              </w:rPr>
              <w:instrText xml:space="preserve"> PAGEREF _Toc237262961 \h </w:instrText>
            </w:r>
            <w:r>
              <w:rPr>
                <w:noProof/>
                <w:webHidden/>
              </w:rPr>
            </w:r>
            <w:r>
              <w:rPr>
                <w:noProof/>
                <w:webHidden/>
              </w:rPr>
              <w:fldChar w:fldCharType="separate"/>
            </w:r>
            <w:r>
              <w:rPr>
                <w:noProof/>
                <w:webHidden/>
              </w:rPr>
              <w:t>16</w:t>
            </w:r>
            <w:r>
              <w:rPr>
                <w:noProof/>
                <w:webHidden/>
              </w:rPr>
              <w:fldChar w:fldCharType="end"/>
            </w:r>
          </w:hyperlink>
        </w:p>
        <w:p w14:paraId="77B7EFED" w14:textId="1076AF86"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2" w:history="1">
            <w:r w:rsidRPr="000E6DA6">
              <w:rPr>
                <w:rStyle w:val="Hyperlink"/>
                <w:noProof/>
                <w:lang w:val="en-IE"/>
              </w:rPr>
              <w:t>Customs documentation and how the TARIC codes would be used</w:t>
            </w:r>
            <w:r>
              <w:rPr>
                <w:noProof/>
                <w:webHidden/>
              </w:rPr>
              <w:tab/>
            </w:r>
            <w:r>
              <w:rPr>
                <w:noProof/>
                <w:webHidden/>
              </w:rPr>
              <w:fldChar w:fldCharType="begin"/>
            </w:r>
            <w:r>
              <w:rPr>
                <w:noProof/>
                <w:webHidden/>
              </w:rPr>
              <w:instrText xml:space="preserve"> PAGEREF _Toc237262962 \h </w:instrText>
            </w:r>
            <w:r>
              <w:rPr>
                <w:noProof/>
                <w:webHidden/>
              </w:rPr>
            </w:r>
            <w:r>
              <w:rPr>
                <w:noProof/>
                <w:webHidden/>
              </w:rPr>
              <w:fldChar w:fldCharType="separate"/>
            </w:r>
            <w:r>
              <w:rPr>
                <w:noProof/>
                <w:webHidden/>
              </w:rPr>
              <w:t>16</w:t>
            </w:r>
            <w:r>
              <w:rPr>
                <w:noProof/>
                <w:webHidden/>
              </w:rPr>
              <w:fldChar w:fldCharType="end"/>
            </w:r>
          </w:hyperlink>
        </w:p>
        <w:p w14:paraId="667C428B" w14:textId="72559075"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3" w:history="1">
            <w:r w:rsidRPr="000E6DA6">
              <w:rPr>
                <w:rStyle w:val="Hyperlink"/>
                <w:noProof/>
              </w:rPr>
              <w:t>Clearing customs</w:t>
            </w:r>
            <w:r>
              <w:rPr>
                <w:noProof/>
                <w:webHidden/>
              </w:rPr>
              <w:tab/>
            </w:r>
            <w:r>
              <w:rPr>
                <w:noProof/>
                <w:webHidden/>
              </w:rPr>
              <w:fldChar w:fldCharType="begin"/>
            </w:r>
            <w:r>
              <w:rPr>
                <w:noProof/>
                <w:webHidden/>
              </w:rPr>
              <w:instrText xml:space="preserve"> PAGEREF _Toc237262963 \h </w:instrText>
            </w:r>
            <w:r>
              <w:rPr>
                <w:noProof/>
                <w:webHidden/>
              </w:rPr>
            </w:r>
            <w:r>
              <w:rPr>
                <w:noProof/>
                <w:webHidden/>
              </w:rPr>
              <w:fldChar w:fldCharType="separate"/>
            </w:r>
            <w:r>
              <w:rPr>
                <w:noProof/>
                <w:webHidden/>
              </w:rPr>
              <w:t>17</w:t>
            </w:r>
            <w:r>
              <w:rPr>
                <w:noProof/>
                <w:webHidden/>
              </w:rPr>
              <w:fldChar w:fldCharType="end"/>
            </w:r>
          </w:hyperlink>
        </w:p>
        <w:p w14:paraId="4811BA9E" w14:textId="5C71FA92"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4" w:history="1">
            <w:r w:rsidRPr="000E6DA6">
              <w:rPr>
                <w:rStyle w:val="Hyperlink"/>
                <w:noProof/>
              </w:rPr>
              <w:t>Some general points to consider with shipping</w:t>
            </w:r>
            <w:r>
              <w:rPr>
                <w:noProof/>
                <w:webHidden/>
              </w:rPr>
              <w:tab/>
            </w:r>
            <w:r>
              <w:rPr>
                <w:noProof/>
                <w:webHidden/>
              </w:rPr>
              <w:fldChar w:fldCharType="begin"/>
            </w:r>
            <w:r>
              <w:rPr>
                <w:noProof/>
                <w:webHidden/>
              </w:rPr>
              <w:instrText xml:space="preserve"> PAGEREF _Toc237262964 \h </w:instrText>
            </w:r>
            <w:r>
              <w:rPr>
                <w:noProof/>
                <w:webHidden/>
              </w:rPr>
            </w:r>
            <w:r>
              <w:rPr>
                <w:noProof/>
                <w:webHidden/>
              </w:rPr>
              <w:fldChar w:fldCharType="separate"/>
            </w:r>
            <w:r>
              <w:rPr>
                <w:noProof/>
                <w:webHidden/>
              </w:rPr>
              <w:t>17</w:t>
            </w:r>
            <w:r>
              <w:rPr>
                <w:noProof/>
                <w:webHidden/>
              </w:rPr>
              <w:fldChar w:fldCharType="end"/>
            </w:r>
          </w:hyperlink>
        </w:p>
        <w:p w14:paraId="6B311D5B" w14:textId="6179EE42" w:rsidR="00893C60" w:rsidRDefault="00893C60">
          <w:pPr>
            <w:pStyle w:val="TOC2"/>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5" w:history="1">
            <w:r w:rsidRPr="000E6DA6">
              <w:rPr>
                <w:rStyle w:val="Hyperlink"/>
                <w:noProof/>
              </w:rPr>
              <w:t>Extra resources</w:t>
            </w:r>
            <w:r>
              <w:rPr>
                <w:noProof/>
                <w:webHidden/>
              </w:rPr>
              <w:tab/>
            </w:r>
            <w:r>
              <w:rPr>
                <w:noProof/>
                <w:webHidden/>
              </w:rPr>
              <w:fldChar w:fldCharType="begin"/>
            </w:r>
            <w:r>
              <w:rPr>
                <w:noProof/>
                <w:webHidden/>
              </w:rPr>
              <w:instrText xml:space="preserve"> PAGEREF _Toc237262965 \h </w:instrText>
            </w:r>
            <w:r>
              <w:rPr>
                <w:noProof/>
                <w:webHidden/>
              </w:rPr>
            </w:r>
            <w:r>
              <w:rPr>
                <w:noProof/>
                <w:webHidden/>
              </w:rPr>
              <w:fldChar w:fldCharType="separate"/>
            </w:r>
            <w:r>
              <w:rPr>
                <w:noProof/>
                <w:webHidden/>
              </w:rPr>
              <w:t>17</w:t>
            </w:r>
            <w:r>
              <w:rPr>
                <w:noProof/>
                <w:webHidden/>
              </w:rPr>
              <w:fldChar w:fldCharType="end"/>
            </w:r>
          </w:hyperlink>
        </w:p>
        <w:p w14:paraId="564023B8" w14:textId="764CD849"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6" w:history="1">
            <w:r w:rsidRPr="000E6DA6">
              <w:rPr>
                <w:rStyle w:val="Hyperlink"/>
                <w:noProof/>
              </w:rPr>
              <w:t>Help with understanding the transition period</w:t>
            </w:r>
            <w:r>
              <w:rPr>
                <w:noProof/>
                <w:webHidden/>
              </w:rPr>
              <w:tab/>
            </w:r>
            <w:r>
              <w:rPr>
                <w:noProof/>
                <w:webHidden/>
              </w:rPr>
              <w:fldChar w:fldCharType="begin"/>
            </w:r>
            <w:r>
              <w:rPr>
                <w:noProof/>
                <w:webHidden/>
              </w:rPr>
              <w:instrText xml:space="preserve"> PAGEREF _Toc237262966 \h </w:instrText>
            </w:r>
            <w:r>
              <w:rPr>
                <w:noProof/>
                <w:webHidden/>
              </w:rPr>
            </w:r>
            <w:r>
              <w:rPr>
                <w:noProof/>
                <w:webHidden/>
              </w:rPr>
              <w:fldChar w:fldCharType="separate"/>
            </w:r>
            <w:r>
              <w:rPr>
                <w:noProof/>
                <w:webHidden/>
              </w:rPr>
              <w:t>18</w:t>
            </w:r>
            <w:r>
              <w:rPr>
                <w:noProof/>
                <w:webHidden/>
              </w:rPr>
              <w:fldChar w:fldCharType="end"/>
            </w:r>
          </w:hyperlink>
        </w:p>
        <w:p w14:paraId="75A726D4" w14:textId="477065B5"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7" w:history="1">
            <w:r w:rsidRPr="000E6DA6">
              <w:rPr>
                <w:rStyle w:val="Hyperlink"/>
                <w:noProof/>
              </w:rPr>
              <w:t>Risk assessment document for stock of Chapter 48 products currently in warehouses</w:t>
            </w:r>
            <w:r>
              <w:rPr>
                <w:noProof/>
                <w:webHidden/>
              </w:rPr>
              <w:tab/>
            </w:r>
            <w:r>
              <w:rPr>
                <w:noProof/>
                <w:webHidden/>
              </w:rPr>
              <w:fldChar w:fldCharType="begin"/>
            </w:r>
            <w:r>
              <w:rPr>
                <w:noProof/>
                <w:webHidden/>
              </w:rPr>
              <w:instrText xml:space="preserve"> PAGEREF _Toc237262967 \h </w:instrText>
            </w:r>
            <w:r>
              <w:rPr>
                <w:noProof/>
                <w:webHidden/>
              </w:rPr>
            </w:r>
            <w:r>
              <w:rPr>
                <w:noProof/>
                <w:webHidden/>
              </w:rPr>
              <w:fldChar w:fldCharType="separate"/>
            </w:r>
            <w:r>
              <w:rPr>
                <w:noProof/>
                <w:webHidden/>
              </w:rPr>
              <w:t>19</w:t>
            </w:r>
            <w:r>
              <w:rPr>
                <w:noProof/>
                <w:webHidden/>
              </w:rPr>
              <w:fldChar w:fldCharType="end"/>
            </w:r>
          </w:hyperlink>
        </w:p>
        <w:p w14:paraId="28897CD1" w14:textId="5618C7C0"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8" w:history="1">
            <w:r w:rsidRPr="000E6DA6">
              <w:rPr>
                <w:rStyle w:val="Hyperlink"/>
                <w:noProof/>
              </w:rPr>
              <w:t>Risk assessment of the supply chain</w:t>
            </w:r>
            <w:r>
              <w:rPr>
                <w:noProof/>
                <w:webHidden/>
              </w:rPr>
              <w:tab/>
            </w:r>
            <w:r>
              <w:rPr>
                <w:noProof/>
                <w:webHidden/>
              </w:rPr>
              <w:fldChar w:fldCharType="begin"/>
            </w:r>
            <w:r>
              <w:rPr>
                <w:noProof/>
                <w:webHidden/>
              </w:rPr>
              <w:instrText xml:space="preserve"> PAGEREF _Toc237262968 \h </w:instrText>
            </w:r>
            <w:r>
              <w:rPr>
                <w:noProof/>
                <w:webHidden/>
              </w:rPr>
            </w:r>
            <w:r>
              <w:rPr>
                <w:noProof/>
                <w:webHidden/>
              </w:rPr>
              <w:fldChar w:fldCharType="separate"/>
            </w:r>
            <w:r>
              <w:rPr>
                <w:noProof/>
                <w:webHidden/>
              </w:rPr>
              <w:t>19</w:t>
            </w:r>
            <w:r>
              <w:rPr>
                <w:noProof/>
                <w:webHidden/>
              </w:rPr>
              <w:fldChar w:fldCharType="end"/>
            </w:r>
          </w:hyperlink>
        </w:p>
        <w:p w14:paraId="3D8623AF" w14:textId="04BFAE95"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69" w:history="1">
            <w:r w:rsidRPr="000E6DA6">
              <w:rPr>
                <w:rStyle w:val="Hyperlink"/>
                <w:noProof/>
              </w:rPr>
              <w:t>Communicating Due Diligence Statement (DDS) and GPS data in ONIX</w:t>
            </w:r>
            <w:r>
              <w:rPr>
                <w:noProof/>
                <w:webHidden/>
              </w:rPr>
              <w:tab/>
            </w:r>
            <w:r>
              <w:rPr>
                <w:noProof/>
                <w:webHidden/>
              </w:rPr>
              <w:fldChar w:fldCharType="begin"/>
            </w:r>
            <w:r>
              <w:rPr>
                <w:noProof/>
                <w:webHidden/>
              </w:rPr>
              <w:instrText xml:space="preserve"> PAGEREF _Toc237262969 \h </w:instrText>
            </w:r>
            <w:r>
              <w:rPr>
                <w:noProof/>
                <w:webHidden/>
              </w:rPr>
            </w:r>
            <w:r>
              <w:rPr>
                <w:noProof/>
                <w:webHidden/>
              </w:rPr>
              <w:fldChar w:fldCharType="separate"/>
            </w:r>
            <w:r>
              <w:rPr>
                <w:noProof/>
                <w:webHidden/>
              </w:rPr>
              <w:t>20</w:t>
            </w:r>
            <w:r>
              <w:rPr>
                <w:noProof/>
                <w:webHidden/>
              </w:rPr>
              <w:fldChar w:fldCharType="end"/>
            </w:r>
          </w:hyperlink>
        </w:p>
        <w:p w14:paraId="5E13CE88" w14:textId="3A2231E1" w:rsidR="00893C60" w:rsidRDefault="00893C60">
          <w:pPr>
            <w:pStyle w:val="TOC1"/>
            <w:tabs>
              <w:tab w:val="right" w:leader="dot" w:pos="10470"/>
            </w:tabs>
            <w:rPr>
              <w:rFonts w:asciiTheme="minorHAnsi" w:eastAsiaTheme="minorEastAsia" w:hAnsiTheme="minorHAnsi" w:cstheme="minorBidi"/>
              <w:noProof/>
              <w:kern w:val="2"/>
              <w:sz w:val="24"/>
              <w:szCs w:val="24"/>
              <w:lang w:eastAsia="en-GB"/>
              <w14:ligatures w14:val="standardContextual"/>
            </w:rPr>
          </w:pPr>
          <w:hyperlink w:anchor="_Toc237262970" w:history="1">
            <w:r w:rsidRPr="000E6DA6">
              <w:rPr>
                <w:rStyle w:val="Hyperlink"/>
                <w:noProof/>
              </w:rPr>
              <w:t>Glossary</w:t>
            </w:r>
            <w:r>
              <w:rPr>
                <w:noProof/>
                <w:webHidden/>
              </w:rPr>
              <w:tab/>
            </w:r>
            <w:r>
              <w:rPr>
                <w:noProof/>
                <w:webHidden/>
              </w:rPr>
              <w:fldChar w:fldCharType="begin"/>
            </w:r>
            <w:r>
              <w:rPr>
                <w:noProof/>
                <w:webHidden/>
              </w:rPr>
              <w:instrText xml:space="preserve"> PAGEREF _Toc237262970 \h </w:instrText>
            </w:r>
            <w:r>
              <w:rPr>
                <w:noProof/>
                <w:webHidden/>
              </w:rPr>
            </w:r>
            <w:r>
              <w:rPr>
                <w:noProof/>
                <w:webHidden/>
              </w:rPr>
              <w:fldChar w:fldCharType="separate"/>
            </w:r>
            <w:r>
              <w:rPr>
                <w:noProof/>
                <w:webHidden/>
              </w:rPr>
              <w:t>20</w:t>
            </w:r>
            <w:r>
              <w:rPr>
                <w:noProof/>
                <w:webHidden/>
              </w:rPr>
              <w:fldChar w:fldCharType="end"/>
            </w:r>
          </w:hyperlink>
        </w:p>
        <w:p w14:paraId="6EB267D0" w14:textId="51F4691E" w:rsidR="337696F5" w:rsidRDefault="337696F5" w:rsidP="337696F5">
          <w:pPr>
            <w:pStyle w:val="TOC1"/>
            <w:tabs>
              <w:tab w:val="right" w:leader="dot" w:pos="10470"/>
            </w:tabs>
            <w:rPr>
              <w:rStyle w:val="Hyperlink"/>
            </w:rPr>
          </w:pPr>
          <w:r>
            <w:fldChar w:fldCharType="end"/>
          </w:r>
        </w:p>
      </w:sdtContent>
    </w:sdt>
    <w:p w14:paraId="06DE0E74" w14:textId="3DCD1A4A" w:rsidR="009D0D25" w:rsidRDefault="009D0D25">
      <w:pPr>
        <w:rPr>
          <w:b/>
          <w:bCs/>
          <w:color w:val="002856"/>
          <w:sz w:val="28"/>
          <w:szCs w:val="28"/>
        </w:rPr>
      </w:pPr>
      <w:r>
        <w:br w:type="page"/>
      </w:r>
    </w:p>
    <w:p w14:paraId="296B8DC9" w14:textId="004DBCC1" w:rsidR="00AF357C" w:rsidRPr="007C4004" w:rsidRDefault="4FA36977" w:rsidP="007C4004">
      <w:pPr>
        <w:pStyle w:val="Heading1"/>
      </w:pPr>
      <w:bookmarkStart w:id="1" w:name="_Toc237262929"/>
      <w:r>
        <w:lastRenderedPageBreak/>
        <w:t>Introduction</w:t>
      </w:r>
      <w:bookmarkEnd w:id="1"/>
    </w:p>
    <w:p w14:paraId="1EAE8EB3" w14:textId="77777777" w:rsidR="001336E2" w:rsidRPr="001639E2" w:rsidRDefault="001336E2" w:rsidP="6E6C6567"/>
    <w:p w14:paraId="74E912DB" w14:textId="6C41AF9E" w:rsidR="00AF357C" w:rsidRDefault="001F507C" w:rsidP="001639E2">
      <w:r>
        <w:t xml:space="preserve">All the information in this guide </w:t>
      </w:r>
      <w:r w:rsidR="009B17BA">
        <w:t>is provided to help all organisations in the publishing industry</w:t>
      </w:r>
      <w:r w:rsidR="008D4ACD">
        <w:t xml:space="preserve"> </w:t>
      </w:r>
      <w:r w:rsidR="00FF478C">
        <w:t xml:space="preserve">throughout </w:t>
      </w:r>
      <w:r w:rsidR="008D4ACD">
        <w:t xml:space="preserve">the supply chain. </w:t>
      </w:r>
      <w:r w:rsidR="4E7EBF53">
        <w:t>This document has been created from</w:t>
      </w:r>
      <w:r w:rsidR="00432163">
        <w:t xml:space="preserve"> extensive</w:t>
      </w:r>
      <w:r w:rsidR="4E7EBF53">
        <w:t xml:space="preserve"> research by the </w:t>
      </w:r>
      <w:r w:rsidR="00DF7872">
        <w:t xml:space="preserve">BIC </w:t>
      </w:r>
      <w:r w:rsidR="4E7EBF53">
        <w:t xml:space="preserve">Task and Finish Working Group (T&amp;FWG) for the project. </w:t>
      </w:r>
      <w:r w:rsidR="000F134C">
        <w:t>However, i</w:t>
      </w:r>
      <w:r w:rsidR="008D4ACD">
        <w:t xml:space="preserve">t </w:t>
      </w:r>
      <w:r w:rsidR="00F02488">
        <w:t xml:space="preserve">has no legal </w:t>
      </w:r>
      <w:r w:rsidR="57E92BA0">
        <w:t>standing</w:t>
      </w:r>
      <w:r w:rsidR="00F02488">
        <w:t xml:space="preserve"> </w:t>
      </w:r>
      <w:r w:rsidR="00DF7872">
        <w:t>and is not intended to be regarded as legal advice with regards to the requirements of the European Union Deforestation Regulation. A</w:t>
      </w:r>
      <w:r w:rsidR="00F02488">
        <w:t xml:space="preserve">ll organisations should </w:t>
      </w:r>
      <w:r w:rsidR="00334F65">
        <w:t>consult a legal expert if they have any legal questions</w:t>
      </w:r>
      <w:r w:rsidR="00DF7872">
        <w:t xml:space="preserve"> regarding this regulation</w:t>
      </w:r>
      <w:r w:rsidR="00334F65">
        <w:t>.</w:t>
      </w:r>
      <w:r w:rsidR="00DF7872">
        <w:t xml:space="preserve"> </w:t>
      </w:r>
      <w:r w:rsidR="00D8599D">
        <w:t xml:space="preserve">This is an evolving </w:t>
      </w:r>
      <w:r w:rsidR="009861B0">
        <w:t>topic as the EU Commission makes</w:t>
      </w:r>
      <w:r w:rsidR="000A7AD5">
        <w:t xml:space="preserve"> decisions </w:t>
      </w:r>
      <w:r w:rsidR="007D0C88">
        <w:t>a</w:t>
      </w:r>
      <w:r w:rsidR="00722418">
        <w:t>round</w:t>
      </w:r>
      <w:r w:rsidR="000A7AD5">
        <w:t xml:space="preserve"> various unanswered questions</w:t>
      </w:r>
      <w:r w:rsidR="00EA6CA8">
        <w:t xml:space="preserve"> and updates their FAQs with new resolutions</w:t>
      </w:r>
      <w:r w:rsidR="00A8512F">
        <w:t>. The information provided by BIC will be updated as and when necessary to reflect new information around the implementation of EUDR.</w:t>
      </w:r>
    </w:p>
    <w:p w14:paraId="626BB53A" w14:textId="77777777" w:rsidR="007A2CD6" w:rsidRDefault="007A2CD6" w:rsidP="001639E2"/>
    <w:p w14:paraId="0FD49DA3" w14:textId="273CB0AA" w:rsidR="007A2CD6" w:rsidRDefault="007A2CD6" w:rsidP="001639E2">
      <w:r>
        <w:t xml:space="preserve">This is the second iteration of this document that takes into account the changes and simplification to EUDR </w:t>
      </w:r>
      <w:r w:rsidR="00C9547B">
        <w:t xml:space="preserve">subsequent to the </w:t>
      </w:r>
      <w:hyperlink r:id="rId12" w:history="1">
        <w:r w:rsidR="00C9547B" w:rsidRPr="00EC64DE">
          <w:rPr>
            <w:rStyle w:val="Hyperlink"/>
          </w:rPr>
          <w:t>EU Commissions review</w:t>
        </w:r>
      </w:hyperlink>
      <w:r w:rsidR="00C9547B">
        <w:t xml:space="preserve"> of the regulation published on the 4 May 2026.</w:t>
      </w:r>
    </w:p>
    <w:p w14:paraId="170D6738" w14:textId="77777777" w:rsidR="00AF616E" w:rsidRDefault="00AF616E" w:rsidP="001639E2"/>
    <w:p w14:paraId="6AA845C5" w14:textId="28F444A0" w:rsidR="00AF616E" w:rsidRDefault="7BA115D6" w:rsidP="00235059">
      <w:pPr>
        <w:pStyle w:val="Heading1"/>
      </w:pPr>
      <w:bookmarkStart w:id="2" w:name="_Toc237262930"/>
      <w:r>
        <w:t>European Union Deforestation Regulation</w:t>
      </w:r>
      <w:r w:rsidR="0F97AC3C">
        <w:t xml:space="preserve"> (EUDR)</w:t>
      </w:r>
      <w:bookmarkEnd w:id="2"/>
    </w:p>
    <w:p w14:paraId="2828440B" w14:textId="77777777" w:rsidR="00817DA0" w:rsidRDefault="00817DA0" w:rsidP="00C464FD"/>
    <w:p w14:paraId="6CBA7853" w14:textId="7461B6A1" w:rsidR="00EE3819" w:rsidRDefault="00817DA0" w:rsidP="00C464FD">
      <w:r w:rsidRPr="0018145E">
        <w:t xml:space="preserve">The </w:t>
      </w:r>
      <w:r>
        <w:t>EUDR</w:t>
      </w:r>
      <w:r w:rsidRPr="00AA51BE">
        <w:rPr>
          <w:rFonts w:eastAsiaTheme="minorHAnsi" w:cstheme="minorBidi"/>
        </w:rPr>
        <w:t xml:space="preserve"> regulation requires</w:t>
      </w:r>
      <w:r>
        <w:rPr>
          <w:rFonts w:eastAsiaTheme="minorHAnsi" w:cstheme="minorBidi"/>
        </w:rPr>
        <w:t xml:space="preserve"> that</w:t>
      </w:r>
      <w:r w:rsidRPr="00AA51BE">
        <w:rPr>
          <w:rFonts w:eastAsiaTheme="minorHAnsi" w:cstheme="minorBidi"/>
        </w:rPr>
        <w:t xml:space="preserve"> seven commodities (cocoa, coffee, soy, palm oil, wood, rubber, and cattle, and their derivatives) are deforestation or</w:t>
      </w:r>
      <w:r w:rsidR="00723B7B">
        <w:rPr>
          <w:rFonts w:eastAsiaTheme="minorHAnsi" w:cstheme="minorBidi"/>
        </w:rPr>
        <w:t xml:space="preserve"> </w:t>
      </w:r>
      <w:r w:rsidR="00A14E9D">
        <w:rPr>
          <w:rFonts w:eastAsiaTheme="minorHAnsi" w:cstheme="minorBidi"/>
        </w:rPr>
        <w:t xml:space="preserve">forest and </w:t>
      </w:r>
      <w:r w:rsidRPr="00AA51BE">
        <w:rPr>
          <w:rFonts w:eastAsiaTheme="minorHAnsi" w:cstheme="minorBidi"/>
        </w:rPr>
        <w:t>land degradation free before they can be imported or exported in the EU</w:t>
      </w:r>
      <w:r>
        <w:t>. Part of the process requires that organisations undertake a due diligence review of their supply chains. For the timber industry and its derivative products this means tracing back to the geolocation that the trees grew on.</w:t>
      </w:r>
    </w:p>
    <w:p w14:paraId="7625EDB2" w14:textId="77777777" w:rsidR="007D72D2" w:rsidRDefault="007D72D2" w:rsidP="00235059"/>
    <w:p w14:paraId="7224CFE0" w14:textId="64A43B04" w:rsidR="007D72D2" w:rsidRDefault="0F97AC3C" w:rsidP="0091695A">
      <w:pPr>
        <w:pStyle w:val="Heading2"/>
      </w:pPr>
      <w:bookmarkStart w:id="3" w:name="_Toc237262931"/>
      <w:r>
        <w:t>EUDR documentation</w:t>
      </w:r>
      <w:bookmarkEnd w:id="3"/>
    </w:p>
    <w:p w14:paraId="3E0922F8" w14:textId="77777777" w:rsidR="00817DA0" w:rsidRPr="00817DA0" w:rsidRDefault="00817DA0" w:rsidP="003A0399"/>
    <w:p w14:paraId="39550C13" w14:textId="38197363" w:rsidR="001B0BAD" w:rsidRDefault="00235059" w:rsidP="00235059">
      <w:r>
        <w:t xml:space="preserve">The following link will take you to the </w:t>
      </w:r>
      <w:r w:rsidR="00176D44">
        <w:t xml:space="preserve">EU website </w:t>
      </w:r>
      <w:r w:rsidR="007D72D2">
        <w:t>for</w:t>
      </w:r>
      <w:r w:rsidR="00176D44">
        <w:t xml:space="preserve"> the </w:t>
      </w:r>
      <w:hyperlink r:id="rId13" w:history="1">
        <w:r w:rsidR="00176D44" w:rsidRPr="007D72D2">
          <w:rPr>
            <w:rStyle w:val="Hyperlink"/>
          </w:rPr>
          <w:t>full regulation</w:t>
        </w:r>
      </w:hyperlink>
      <w:r w:rsidR="007D72D2">
        <w:t>.</w:t>
      </w:r>
      <w:r w:rsidR="00A8512F">
        <w:t xml:space="preserve"> </w:t>
      </w:r>
    </w:p>
    <w:p w14:paraId="020E8D30" w14:textId="77777777" w:rsidR="001B0BAD" w:rsidRDefault="001B0BAD" w:rsidP="00235059"/>
    <w:p w14:paraId="1905EE0F" w14:textId="77777777" w:rsidR="001B0BAD" w:rsidRDefault="7B6EBA87" w:rsidP="0091695A">
      <w:pPr>
        <w:pStyle w:val="Heading2"/>
      </w:pPr>
      <w:bookmarkStart w:id="4" w:name="_Toc237262932"/>
      <w:r>
        <w:t>EUDR FAQs</w:t>
      </w:r>
      <w:bookmarkEnd w:id="4"/>
    </w:p>
    <w:p w14:paraId="303E1E0F" w14:textId="77777777" w:rsidR="00817DA0" w:rsidRPr="00817DA0" w:rsidRDefault="00817DA0" w:rsidP="003A0399"/>
    <w:p w14:paraId="6530E396" w14:textId="6C387DB6" w:rsidR="00235059" w:rsidRDefault="001B0BAD" w:rsidP="001B0BAD">
      <w:r>
        <w:t>The following link will take you to the EU website for the current</w:t>
      </w:r>
      <w:r w:rsidR="009B398B">
        <w:t xml:space="preserve"> </w:t>
      </w:r>
      <w:hyperlink r:id="rId14">
        <w:r w:rsidR="009B398B" w:rsidRPr="164D15C9">
          <w:rPr>
            <w:rStyle w:val="Hyperlink"/>
          </w:rPr>
          <w:t>FAQs</w:t>
        </w:r>
        <w:r w:rsidR="7AF093CA" w:rsidRPr="164D15C9">
          <w:rPr>
            <w:rStyle w:val="Hyperlink"/>
          </w:rPr>
          <w:t>.</w:t>
        </w:r>
      </w:hyperlink>
    </w:p>
    <w:p w14:paraId="1363167C" w14:textId="77777777" w:rsidR="00AF357C" w:rsidRDefault="00AF357C" w:rsidP="001639E2"/>
    <w:p w14:paraId="7C48CCA7" w14:textId="44DB410D" w:rsidR="001A061D" w:rsidRPr="004B3464" w:rsidRDefault="001F474E" w:rsidP="001A061D">
      <w:pPr>
        <w:pStyle w:val="Heading2"/>
      </w:pPr>
      <w:bookmarkStart w:id="5" w:name="_Toc237262933"/>
      <w:r w:rsidRPr="004B3464">
        <w:t xml:space="preserve">Note on B2C </w:t>
      </w:r>
      <w:r w:rsidR="004B3464" w:rsidRPr="004B3464">
        <w:t>transactions</w:t>
      </w:r>
      <w:r w:rsidR="005D484F" w:rsidRPr="004B3464">
        <w:t xml:space="preserve"> and SME requirements</w:t>
      </w:r>
      <w:bookmarkEnd w:id="5"/>
    </w:p>
    <w:p w14:paraId="0D9B82B8" w14:textId="77777777" w:rsidR="001A061D" w:rsidRPr="004B3464" w:rsidRDefault="001A061D" w:rsidP="001639E2"/>
    <w:p w14:paraId="73394612" w14:textId="5DFE7AA3" w:rsidR="00752C8C" w:rsidRPr="00752C8C" w:rsidRDefault="00752C8C" w:rsidP="00752C8C">
      <w:r w:rsidRPr="00752C8C">
        <w:t xml:space="preserve">Because B2C sales into the EU are exempt from the regulations, and EU regulations state that </w:t>
      </w:r>
      <w:r w:rsidR="009A12D7" w:rsidRPr="00752C8C">
        <w:t>SMEs</w:t>
      </w:r>
      <w:r w:rsidRPr="00752C8C">
        <w:t xml:space="preserve"> inside the EU have simplified rules that in any case do not kick in until </w:t>
      </w:r>
      <w:r w:rsidRPr="000D7AE3">
        <w:t xml:space="preserve">1st July </w:t>
      </w:r>
      <w:r w:rsidR="00E45576" w:rsidRPr="000D7AE3">
        <w:t>202</w:t>
      </w:r>
      <w:r w:rsidR="00E45576" w:rsidRPr="00A93D96">
        <w:t>7</w:t>
      </w:r>
      <w:r w:rsidRPr="00752C8C">
        <w:t xml:space="preserve">, it may appear that some businesses shipping into the EU could rest a little easier and delay work to become compliant </w:t>
      </w:r>
      <w:r w:rsidRPr="00B44236">
        <w:t>until</w:t>
      </w:r>
      <w:r w:rsidR="00A93D96">
        <w:t xml:space="preserve"> 30 December</w:t>
      </w:r>
      <w:r w:rsidRPr="00B44236">
        <w:t xml:space="preserve"> 2026</w:t>
      </w:r>
      <w:r w:rsidRPr="00752C8C">
        <w:t xml:space="preserve">. However, that would be a mistake as even for B2C sales, there will need to be compliance with certain aspects of EUDR (e.g. using the correct TARIC code) from the end of this year. Most suppliers in any event supply B2B and B2C customers, and it’s also plausible that to avoid any concerns around EUDR, some smaller EU businesses will order from UK publishers via larger importing entities who will therefore fall under EUDR from </w:t>
      </w:r>
      <w:r w:rsidRPr="00A93D96">
        <w:t xml:space="preserve">the </w:t>
      </w:r>
      <w:r w:rsidRPr="00B44236">
        <w:t>end of this year.</w:t>
      </w:r>
      <w:r w:rsidRPr="00A93D96">
        <w:t xml:space="preserve"> Therefore</w:t>
      </w:r>
      <w:r w:rsidRPr="00752C8C">
        <w:t xml:space="preserve">, whether a large or small business, and a B2B or B2C transaction, everyone in the supply chain needs to make sure enough is done to assure those importing the </w:t>
      </w:r>
      <w:r w:rsidR="006E0F4F">
        <w:t xml:space="preserve">products </w:t>
      </w:r>
      <w:r w:rsidR="006E0F4F" w:rsidRPr="00752C8C">
        <w:t>(</w:t>
      </w:r>
      <w:r w:rsidRPr="00752C8C">
        <w:t xml:space="preserve">and the EU agencies at the border or who may audit EU customer activity later) that </w:t>
      </w:r>
      <w:r w:rsidR="006E0F4F" w:rsidRPr="00752C8C">
        <w:t xml:space="preserve">the </w:t>
      </w:r>
      <w:r w:rsidR="006E0F4F">
        <w:t>products</w:t>
      </w:r>
      <w:r w:rsidRPr="00752C8C">
        <w:t xml:space="preserve"> are as compliant as they need to be.</w:t>
      </w:r>
    </w:p>
    <w:p w14:paraId="0E4C7664" w14:textId="77777777" w:rsidR="00B13601" w:rsidRDefault="00B13601" w:rsidP="001639E2">
      <w:pPr>
        <w:rPr>
          <w:b/>
          <w:bCs/>
          <w:color w:val="002856"/>
          <w:sz w:val="28"/>
          <w:szCs w:val="28"/>
        </w:rPr>
      </w:pPr>
    </w:p>
    <w:p w14:paraId="0523CB7B" w14:textId="40AB54A9" w:rsidR="00B13601" w:rsidRDefault="00B13601" w:rsidP="00CA114A">
      <w:pPr>
        <w:pStyle w:val="Heading2"/>
      </w:pPr>
      <w:bookmarkStart w:id="6" w:name="_Toc237262934"/>
      <w:r>
        <w:t>Product inclusions and exemptions</w:t>
      </w:r>
      <w:bookmarkEnd w:id="6"/>
    </w:p>
    <w:p w14:paraId="725CB803" w14:textId="61C7D006" w:rsidR="00FA32A9" w:rsidRDefault="00FA32A9" w:rsidP="001639E2">
      <w:pPr>
        <w:pStyle w:val="Heading1"/>
      </w:pPr>
    </w:p>
    <w:p w14:paraId="526F5C31" w14:textId="7553EA43" w:rsidR="00FA32A9" w:rsidRDefault="009D292E" w:rsidP="00FA32A9">
      <w:r>
        <w:t xml:space="preserve">Apart from the main papers that make up the production of </w:t>
      </w:r>
      <w:r w:rsidR="0022043E">
        <w:t>a chapter 48 product the</w:t>
      </w:r>
      <w:r>
        <w:t xml:space="preserve"> following items need to be consider</w:t>
      </w:r>
      <w:r w:rsidR="006502B8">
        <w:t>ed as well:</w:t>
      </w:r>
    </w:p>
    <w:p w14:paraId="109631F4" w14:textId="77777777" w:rsidR="006502B8" w:rsidRDefault="006502B8" w:rsidP="00FA32A9"/>
    <w:p w14:paraId="6A7C2A04" w14:textId="62858202" w:rsidR="00212FF6" w:rsidRDefault="00212FF6" w:rsidP="00E1377A">
      <w:pPr>
        <w:pStyle w:val="Heading3"/>
      </w:pPr>
      <w:bookmarkStart w:id="7" w:name="_Toc237262935"/>
      <w:r>
        <w:t>Inclusions</w:t>
      </w:r>
      <w:bookmarkEnd w:id="7"/>
    </w:p>
    <w:p w14:paraId="03E32BEB" w14:textId="2CFD89E4" w:rsidR="00974095" w:rsidRDefault="002D2376" w:rsidP="006502B8">
      <w:pPr>
        <w:pStyle w:val="ListParagraph"/>
        <w:numPr>
          <w:ilvl w:val="0"/>
          <w:numId w:val="43"/>
        </w:numPr>
      </w:pPr>
      <w:r>
        <w:t xml:space="preserve">Slipcases are </w:t>
      </w:r>
      <w:r w:rsidR="0059770C">
        <w:t>in scope for</w:t>
      </w:r>
      <w:r>
        <w:t xml:space="preserve"> EUDR</w:t>
      </w:r>
      <w:r w:rsidR="00A17694">
        <w:t>,</w:t>
      </w:r>
      <w:r w:rsidR="009509FB">
        <w:t xml:space="preserve"> if they are sold separately</w:t>
      </w:r>
    </w:p>
    <w:p w14:paraId="7230F66C" w14:textId="627772AB" w:rsidR="00230C34" w:rsidRDefault="005A7D63" w:rsidP="006502B8">
      <w:pPr>
        <w:pStyle w:val="ListParagraph"/>
        <w:numPr>
          <w:ilvl w:val="0"/>
          <w:numId w:val="43"/>
        </w:numPr>
      </w:pPr>
      <w:r>
        <w:lastRenderedPageBreak/>
        <w:t xml:space="preserve">Gift set boxes are </w:t>
      </w:r>
      <w:r w:rsidR="0059770C">
        <w:t>in scope for</w:t>
      </w:r>
      <w:r>
        <w:t xml:space="preserve"> EUDR</w:t>
      </w:r>
      <w:r w:rsidR="00230C34">
        <w:t>,</w:t>
      </w:r>
      <w:r w:rsidR="009509FB">
        <w:t xml:space="preserve"> if they are sold separately</w:t>
      </w:r>
    </w:p>
    <w:p w14:paraId="5F23C86D" w14:textId="74471F73" w:rsidR="005A7D63" w:rsidRDefault="00230C34" w:rsidP="006502B8">
      <w:pPr>
        <w:pStyle w:val="ListParagraph"/>
        <w:numPr>
          <w:ilvl w:val="0"/>
          <w:numId w:val="43"/>
        </w:numPr>
      </w:pPr>
      <w:r>
        <w:t xml:space="preserve">Products that fall into HS Code </w:t>
      </w:r>
      <w:hyperlink r:id="rId15" w:history="1">
        <w:r w:rsidRPr="004C715B">
          <w:rPr>
            <w:rStyle w:val="Hyperlink"/>
          </w:rPr>
          <w:t xml:space="preserve">Chapter </w:t>
        </w:r>
        <w:r w:rsidR="004C715B" w:rsidRPr="004C715B">
          <w:rPr>
            <w:rStyle w:val="Hyperlink"/>
          </w:rPr>
          <w:t>47</w:t>
        </w:r>
      </w:hyperlink>
      <w:r w:rsidR="004C715B">
        <w:t xml:space="preserve"> and </w:t>
      </w:r>
      <w:hyperlink r:id="rId16" w:history="1">
        <w:r w:rsidR="004C715B" w:rsidRPr="007603A2">
          <w:rPr>
            <w:rStyle w:val="Hyperlink"/>
          </w:rPr>
          <w:t>Chapter 48</w:t>
        </w:r>
      </w:hyperlink>
      <w:r w:rsidR="00DE7713">
        <w:t xml:space="preserve"> are in scope for EUDR</w:t>
      </w:r>
      <w:r w:rsidR="0059770C">
        <w:t>.</w:t>
      </w:r>
    </w:p>
    <w:p w14:paraId="4122FB55" w14:textId="77777777" w:rsidR="00212FF6" w:rsidRDefault="00212FF6" w:rsidP="00212FF6"/>
    <w:p w14:paraId="60E94424" w14:textId="2A686808" w:rsidR="00212FF6" w:rsidRDefault="00212FF6" w:rsidP="00E1377A">
      <w:pPr>
        <w:pStyle w:val="Heading3"/>
      </w:pPr>
      <w:bookmarkStart w:id="8" w:name="_Toc237262936"/>
      <w:r>
        <w:t>Exemptions</w:t>
      </w:r>
      <w:bookmarkEnd w:id="8"/>
    </w:p>
    <w:p w14:paraId="109D4AD8" w14:textId="45772B7F" w:rsidR="00F3473B" w:rsidRDefault="00F3473B" w:rsidP="00F3473B">
      <w:pPr>
        <w:pStyle w:val="ListParagraph"/>
        <w:numPr>
          <w:ilvl w:val="0"/>
          <w:numId w:val="43"/>
        </w:numPr>
      </w:pPr>
      <w:r>
        <w:t xml:space="preserve">Paper made from 100% </w:t>
      </w:r>
      <w:r w:rsidR="00A22360">
        <w:t>recycled</w:t>
      </w:r>
      <w:r>
        <w:t xml:space="preserve"> material is exempt from EUDR, but proof of this will be required. It is considered to have completed its original life cycle and is being used again,</w:t>
      </w:r>
    </w:p>
    <w:p w14:paraId="5119D875" w14:textId="76D5F97E" w:rsidR="00B5597F" w:rsidRDefault="005A7D63" w:rsidP="00A17694">
      <w:pPr>
        <w:pStyle w:val="ListParagraph"/>
        <w:numPr>
          <w:ilvl w:val="0"/>
          <w:numId w:val="43"/>
        </w:numPr>
      </w:pPr>
      <w:r>
        <w:t>Car</w:t>
      </w:r>
      <w:r w:rsidR="00D848A0">
        <w:t>d</w:t>
      </w:r>
      <w:r>
        <w:t>board cartons that are used as packaging</w:t>
      </w:r>
      <w:r w:rsidR="00DE561A">
        <w:t xml:space="preserve"> to transport product are </w:t>
      </w:r>
      <w:r w:rsidR="00B5597F">
        <w:t>exempt from</w:t>
      </w:r>
      <w:r w:rsidR="00DE561A">
        <w:t xml:space="preserve"> EUDR</w:t>
      </w:r>
      <w:r w:rsidR="00A17694">
        <w:t>,</w:t>
      </w:r>
    </w:p>
    <w:p w14:paraId="56A1F313" w14:textId="77777777" w:rsidR="00A07E8D" w:rsidRDefault="00A17694" w:rsidP="00632BE3">
      <w:pPr>
        <w:pStyle w:val="ListParagraph"/>
        <w:numPr>
          <w:ilvl w:val="0"/>
          <w:numId w:val="43"/>
        </w:numPr>
      </w:pPr>
      <w:r>
        <w:rPr>
          <w:lang w:eastAsia="en-GB"/>
        </w:rPr>
        <w:t>A</w:t>
      </w:r>
      <w:r w:rsidRPr="00A17694">
        <w:rPr>
          <w:lang w:eastAsia="en-GB"/>
        </w:rPr>
        <w:t xml:space="preserve">dvertising material accompanying goods should be exempt from </w:t>
      </w:r>
      <w:r w:rsidR="00B5597F">
        <w:rPr>
          <w:lang w:eastAsia="en-GB"/>
        </w:rPr>
        <w:t>EUDR</w:t>
      </w:r>
      <w:r w:rsidRPr="00A17694">
        <w:rPr>
          <w:lang w:eastAsia="en-GB"/>
        </w:rPr>
        <w:t>, as well as packaging around other goods and letters and correspondence</w:t>
      </w:r>
      <w:r w:rsidR="00A07E8D">
        <w:rPr>
          <w:lang w:eastAsia="en-GB"/>
        </w:rPr>
        <w:t>,</w:t>
      </w:r>
    </w:p>
    <w:p w14:paraId="6D0C5EEC" w14:textId="3CB0BDF7" w:rsidR="00A17694" w:rsidRDefault="007D2926" w:rsidP="00632BE3">
      <w:pPr>
        <w:pStyle w:val="ListParagraph"/>
        <w:numPr>
          <w:ilvl w:val="0"/>
          <w:numId w:val="43"/>
        </w:numPr>
      </w:pPr>
      <w:r>
        <w:rPr>
          <w:lang w:eastAsia="en-GB"/>
        </w:rPr>
        <w:t xml:space="preserve">All products that fall under </w:t>
      </w:r>
      <w:r w:rsidR="00230C34">
        <w:rPr>
          <w:lang w:eastAsia="en-GB"/>
        </w:rPr>
        <w:t xml:space="preserve">HS Code </w:t>
      </w:r>
      <w:hyperlink r:id="rId17" w:history="1">
        <w:r w:rsidRPr="00230C34">
          <w:rPr>
            <w:rStyle w:val="Hyperlink"/>
            <w:lang w:eastAsia="en-GB"/>
          </w:rPr>
          <w:t>Chapter 49</w:t>
        </w:r>
      </w:hyperlink>
      <w:r w:rsidR="00B5597F">
        <w:rPr>
          <w:lang w:eastAsia="en-GB"/>
        </w:rPr>
        <w:t>.</w:t>
      </w:r>
    </w:p>
    <w:p w14:paraId="3098B41A" w14:textId="77777777" w:rsidR="006502B8" w:rsidRDefault="006502B8" w:rsidP="001639E2">
      <w:pPr>
        <w:pStyle w:val="Heading1"/>
      </w:pPr>
    </w:p>
    <w:p w14:paraId="72ABDC69" w14:textId="55B58ABF" w:rsidR="00E55DE0" w:rsidRDefault="1820781B" w:rsidP="001639E2">
      <w:pPr>
        <w:pStyle w:val="Heading1"/>
      </w:pPr>
      <w:bookmarkStart w:id="9" w:name="_Toc237262937"/>
      <w:r>
        <w:t>Access to EU Traces</w:t>
      </w:r>
      <w:bookmarkEnd w:id="9"/>
    </w:p>
    <w:p w14:paraId="7B6DDD4F" w14:textId="77777777" w:rsidR="00D8010C" w:rsidRDefault="00D8010C" w:rsidP="001639E2"/>
    <w:p w14:paraId="6E9E6AA0" w14:textId="77777777" w:rsidR="00AB13E2" w:rsidRDefault="00AB13E2" w:rsidP="3A209900">
      <w:r>
        <w:t>EU Traces</w:t>
      </w:r>
      <w:r w:rsidRPr="00AA51BE">
        <w:rPr>
          <w:rFonts w:eastAsiaTheme="minorHAnsi" w:cstheme="minorBidi"/>
        </w:rPr>
        <w:t xml:space="preserve"> is the EU system that allows organisations to declare that due diligence has been performed before the import, export, domestic production or merchandising of products that are in scope of EUDR</w:t>
      </w:r>
      <w:r>
        <w:t xml:space="preserve">. </w:t>
      </w:r>
    </w:p>
    <w:p w14:paraId="5116C95E" w14:textId="77777777" w:rsidR="00AB13E2" w:rsidRDefault="00AB13E2" w:rsidP="3A209900"/>
    <w:p w14:paraId="0A819CCF" w14:textId="35EFF1AA" w:rsidR="00D8010C" w:rsidRDefault="00D8010C" w:rsidP="3A209900">
      <w:r>
        <w:t xml:space="preserve">Access to EU Traces is </w:t>
      </w:r>
      <w:r w:rsidR="00414632">
        <w:t xml:space="preserve">only </w:t>
      </w:r>
      <w:r>
        <w:t xml:space="preserve">for organisations that have an EU </w:t>
      </w:r>
      <w:r w:rsidR="548F8D91" w:rsidRPr="3A209900">
        <w:t xml:space="preserve">Economic Operators Registration and Identification (EORI) number. This unique identifier is used by customs authorities in the UK and EU when businesses or individuals interact with customs for import and export activities. </w:t>
      </w:r>
      <w:r>
        <w:t>Although the UK is not in the EU, Northern Ireland is for trading purposes and appears in the list of countries that you can select in EU Traces.</w:t>
      </w:r>
    </w:p>
    <w:p w14:paraId="027C9CFD" w14:textId="77777777" w:rsidR="00D8010C" w:rsidRDefault="00D8010C" w:rsidP="001639E2"/>
    <w:p w14:paraId="58B7D6A7" w14:textId="2A5B728E" w:rsidR="00D8010C" w:rsidRPr="004B3464" w:rsidRDefault="00AF6687" w:rsidP="001639E2">
      <w:r w:rsidRPr="004B3464">
        <w:t>Many UK</w:t>
      </w:r>
      <w:r w:rsidR="00D8010C" w:rsidRPr="004B3464">
        <w:t xml:space="preserve"> organisations applied for a UK GB EORI number around the time of Brexit. It is possible using the following steps to </w:t>
      </w:r>
      <w:r w:rsidRPr="004B3464">
        <w:t xml:space="preserve">also </w:t>
      </w:r>
      <w:r w:rsidR="00D8010C" w:rsidRPr="004B3464">
        <w:t xml:space="preserve">apply for a Northern Ireland XI EORI number if you have a UK one, </w:t>
      </w:r>
      <w:r w:rsidR="00DA7E38" w:rsidRPr="004B3464">
        <w:t>as many UK businesses have already done to help facilitate trade with Northern Ireland</w:t>
      </w:r>
      <w:r w:rsidR="004B3464">
        <w:t>.</w:t>
      </w:r>
    </w:p>
    <w:p w14:paraId="7095A3CF" w14:textId="77777777" w:rsidR="0011693B" w:rsidRDefault="0011693B" w:rsidP="001639E2"/>
    <w:p w14:paraId="232DE782" w14:textId="0C7B7697" w:rsidR="0011693B" w:rsidRPr="001639E2" w:rsidRDefault="1820781B" w:rsidP="0091695A">
      <w:pPr>
        <w:pStyle w:val="Heading2"/>
      </w:pPr>
      <w:bookmarkStart w:id="10" w:name="_Toc237262938"/>
      <w:r>
        <w:t>How to apply for a N</w:t>
      </w:r>
      <w:r w:rsidR="02B41D1F">
        <w:t xml:space="preserve">orthern </w:t>
      </w:r>
      <w:r>
        <w:t>I</w:t>
      </w:r>
      <w:r w:rsidR="02B41D1F">
        <w:t>reland XI</w:t>
      </w:r>
      <w:r>
        <w:t xml:space="preserve"> EORI Number</w:t>
      </w:r>
      <w:bookmarkEnd w:id="10"/>
    </w:p>
    <w:p w14:paraId="2812510A" w14:textId="77777777" w:rsidR="0011693B" w:rsidRPr="0011693B" w:rsidRDefault="0011693B" w:rsidP="001639E2"/>
    <w:p w14:paraId="33171B6D" w14:textId="55E81E50" w:rsidR="0011693B" w:rsidRDefault="00D8010C" w:rsidP="001639E2">
      <w:r>
        <w:t>This assumes that an organisation does not have a UK EORI number.</w:t>
      </w:r>
    </w:p>
    <w:p w14:paraId="5980B782" w14:textId="77777777" w:rsidR="00D8010C" w:rsidRPr="0011693B" w:rsidRDefault="00D8010C" w:rsidP="001639E2"/>
    <w:p w14:paraId="1883FD17" w14:textId="18B0CCB0" w:rsidR="0011693B" w:rsidRDefault="0011693B" w:rsidP="001639E2">
      <w:r w:rsidRPr="0011693B">
        <w:t>Step-by-Step Guide </w:t>
      </w:r>
    </w:p>
    <w:p w14:paraId="62AC65C1" w14:textId="77777777" w:rsidR="00D8010C" w:rsidRPr="0011693B" w:rsidRDefault="00D8010C" w:rsidP="001639E2"/>
    <w:p w14:paraId="1A9122B1" w14:textId="77777777" w:rsidR="0011693B" w:rsidRPr="0011693B" w:rsidRDefault="0011693B" w:rsidP="001639E2">
      <w:r w:rsidRPr="0011693B">
        <w:t>1. Apply for a GB EORI Number </w:t>
      </w:r>
    </w:p>
    <w:p w14:paraId="4CEC90C7" w14:textId="38B0EB4C" w:rsidR="0011693B" w:rsidRDefault="0011693B" w:rsidP="001639E2">
      <w:r w:rsidRPr="0011693B">
        <w:t xml:space="preserve">If your business </w:t>
      </w:r>
      <w:r w:rsidR="00D8010C" w:rsidRPr="0011693B">
        <w:t>does not</w:t>
      </w:r>
      <w:r w:rsidRPr="0011693B">
        <w:t xml:space="preserve"> already have one, start here: </w:t>
      </w:r>
    </w:p>
    <w:p w14:paraId="142ED60A" w14:textId="77777777" w:rsidR="004B3464" w:rsidRPr="0011693B" w:rsidRDefault="004B3464" w:rsidP="001639E2"/>
    <w:p w14:paraId="6C3A2936" w14:textId="77777777" w:rsidR="004B3464" w:rsidRPr="004B3464" w:rsidRDefault="0011693B" w:rsidP="004B3464">
      <w:pPr>
        <w:pStyle w:val="ListParagraph"/>
        <w:ind w:left="720"/>
      </w:pPr>
      <w:r w:rsidRPr="0011693B">
        <w:t xml:space="preserve">Go to the </w:t>
      </w:r>
      <w:hyperlink r:id="rId18" w:tgtFrame="_blank" w:history="1">
        <w:r w:rsidRPr="0011693B">
          <w:rPr>
            <w:rStyle w:val="Hyperlink"/>
          </w:rPr>
          <w:t>UK Government EORI application portal</w:t>
        </w:r>
      </w:hyperlink>
      <w:r w:rsidRPr="0011693B">
        <w:t> </w:t>
      </w:r>
    </w:p>
    <w:p w14:paraId="4E26F37E" w14:textId="2A1E6CA1" w:rsidR="0011693B" w:rsidRPr="0011693B" w:rsidRDefault="00D8010C" w:rsidP="004B3464">
      <w:pPr>
        <w:pStyle w:val="ListParagraph"/>
        <w:ind w:left="720"/>
      </w:pPr>
      <w:r w:rsidRPr="0011693B">
        <w:t>You will</w:t>
      </w:r>
      <w:r w:rsidR="0011693B" w:rsidRPr="0011693B">
        <w:t xml:space="preserve"> need your: </w:t>
      </w:r>
    </w:p>
    <w:p w14:paraId="47580E60" w14:textId="77777777" w:rsidR="0011693B" w:rsidRPr="0011693B" w:rsidRDefault="0011693B" w:rsidP="00F33C6B">
      <w:pPr>
        <w:pStyle w:val="ListParagraph"/>
        <w:numPr>
          <w:ilvl w:val="0"/>
          <w:numId w:val="16"/>
        </w:numPr>
        <w:tabs>
          <w:tab w:val="clear" w:pos="720"/>
          <w:tab w:val="num" w:pos="1080"/>
        </w:tabs>
        <w:ind w:left="1080"/>
      </w:pPr>
      <w:r w:rsidRPr="0011693B">
        <w:t>Unique Taxpayer Reference (UTR) </w:t>
      </w:r>
    </w:p>
    <w:p w14:paraId="182C5E68" w14:textId="77777777" w:rsidR="0011693B" w:rsidRPr="0011693B" w:rsidRDefault="0011693B" w:rsidP="00F33C6B">
      <w:pPr>
        <w:pStyle w:val="ListParagraph"/>
        <w:numPr>
          <w:ilvl w:val="0"/>
          <w:numId w:val="17"/>
        </w:numPr>
        <w:tabs>
          <w:tab w:val="clear" w:pos="720"/>
          <w:tab w:val="num" w:pos="1080"/>
        </w:tabs>
        <w:ind w:left="1080"/>
      </w:pPr>
      <w:r w:rsidRPr="0011693B">
        <w:t>VAT number (if registered) </w:t>
      </w:r>
    </w:p>
    <w:p w14:paraId="792E73F9" w14:textId="77777777" w:rsidR="0011693B" w:rsidRPr="0011693B" w:rsidRDefault="0011693B" w:rsidP="00F33C6B">
      <w:pPr>
        <w:pStyle w:val="ListParagraph"/>
        <w:numPr>
          <w:ilvl w:val="0"/>
          <w:numId w:val="18"/>
        </w:numPr>
        <w:tabs>
          <w:tab w:val="clear" w:pos="720"/>
          <w:tab w:val="num" w:pos="1080"/>
        </w:tabs>
        <w:ind w:left="1080"/>
      </w:pPr>
      <w:r w:rsidRPr="0011693B">
        <w:t>Business start date and SIC code </w:t>
      </w:r>
    </w:p>
    <w:p w14:paraId="06242081" w14:textId="77777777" w:rsidR="0011693B" w:rsidRPr="0011693B" w:rsidRDefault="0011693B" w:rsidP="00F33C6B">
      <w:pPr>
        <w:pStyle w:val="ListParagraph"/>
        <w:numPr>
          <w:ilvl w:val="0"/>
          <w:numId w:val="19"/>
        </w:numPr>
        <w:tabs>
          <w:tab w:val="clear" w:pos="720"/>
          <w:tab w:val="num" w:pos="1080"/>
        </w:tabs>
        <w:ind w:left="1080"/>
      </w:pPr>
      <w:r w:rsidRPr="0011693B">
        <w:t>Government Gateway ID </w:t>
      </w:r>
    </w:p>
    <w:p w14:paraId="4CA03669" w14:textId="77777777" w:rsidR="00D8010C" w:rsidRDefault="00D8010C" w:rsidP="001639E2"/>
    <w:p w14:paraId="32FFB0E2" w14:textId="08194607" w:rsidR="0011693B" w:rsidRPr="0011693B" w:rsidRDefault="0011693B" w:rsidP="001639E2">
      <w:r w:rsidRPr="0011693B">
        <w:t>Most GB EORI numbers are issued immediately unless HMRC needs to verify details. </w:t>
      </w:r>
    </w:p>
    <w:p w14:paraId="6F1BB38D" w14:textId="77777777" w:rsidR="00D8010C" w:rsidRDefault="00D8010C" w:rsidP="001639E2"/>
    <w:p w14:paraId="16319489" w14:textId="39543901" w:rsidR="0011693B" w:rsidRPr="0011693B" w:rsidRDefault="0011693B" w:rsidP="001639E2">
      <w:r w:rsidRPr="0011693B">
        <w:t>2. Apply for an XI EORI Number </w:t>
      </w:r>
    </w:p>
    <w:p w14:paraId="399D6E5F" w14:textId="77777777" w:rsidR="00D8010C" w:rsidRDefault="00D8010C" w:rsidP="001639E2"/>
    <w:p w14:paraId="071C1BB9" w14:textId="4946BBBF" w:rsidR="0011693B" w:rsidRPr="0011693B" w:rsidRDefault="0011693B" w:rsidP="001639E2">
      <w:r w:rsidRPr="0011693B">
        <w:t>Once you have your GB EORI: </w:t>
      </w:r>
    </w:p>
    <w:p w14:paraId="12DCD40D" w14:textId="233A0E26" w:rsidR="00D8010C" w:rsidRDefault="0011693B" w:rsidP="3A209900">
      <w:pPr>
        <w:pStyle w:val="ListParagraph"/>
        <w:numPr>
          <w:ilvl w:val="0"/>
          <w:numId w:val="20"/>
        </w:numPr>
      </w:pPr>
      <w:r>
        <w:t xml:space="preserve">Fill in the </w:t>
      </w:r>
      <w:hyperlink r:id="rId19">
        <w:r w:rsidRPr="3A209900">
          <w:rPr>
            <w:rStyle w:val="Hyperlink"/>
          </w:rPr>
          <w:t>EORI enquiry form</w:t>
        </w:r>
      </w:hyperlink>
      <w:r>
        <w:t> </w:t>
      </w:r>
    </w:p>
    <w:p w14:paraId="4D3E9810" w14:textId="1F95FA14" w:rsidR="3A209900" w:rsidRDefault="3A209900" w:rsidP="3A209900">
      <w:pPr>
        <w:pStyle w:val="ListParagraph"/>
        <w:ind w:left="720"/>
      </w:pPr>
    </w:p>
    <w:p w14:paraId="7556D6C6" w14:textId="212A8A1B" w:rsidR="0011693B" w:rsidRPr="0011693B" w:rsidRDefault="1820781B" w:rsidP="001639E2">
      <w:r>
        <w:t>You will then be given the following options to tick all that apply</w:t>
      </w:r>
      <w:r w:rsidR="02B41D1F">
        <w:t>:</w:t>
      </w:r>
    </w:p>
    <w:p w14:paraId="4F29D90A" w14:textId="1927B90D" w:rsidR="337696F5" w:rsidRDefault="337696F5"/>
    <w:p w14:paraId="1F7A603E" w14:textId="77777777" w:rsidR="0011693B" w:rsidRPr="0011693B" w:rsidRDefault="1820781B" w:rsidP="337696F5">
      <w:pPr>
        <w:pStyle w:val="ListParagraph"/>
        <w:ind w:left="720"/>
      </w:pPr>
      <w:r>
        <w:lastRenderedPageBreak/>
        <w:t>Why is an XI EORI required by your business? </w:t>
      </w:r>
    </w:p>
    <w:p w14:paraId="34CAFD2C" w14:textId="77777777" w:rsidR="0011693B" w:rsidRPr="0011693B" w:rsidRDefault="1820781B" w:rsidP="337696F5">
      <w:pPr>
        <w:pStyle w:val="ListParagraph"/>
        <w:ind w:left="720"/>
      </w:pPr>
      <w:r>
        <w:t>Select all that apply. </w:t>
      </w:r>
    </w:p>
    <w:p w14:paraId="6A5F41DF" w14:textId="77777777" w:rsidR="0011693B" w:rsidRPr="0011693B" w:rsidRDefault="0011693B" w:rsidP="001639E2">
      <w:pPr>
        <w:pStyle w:val="ListParagraph"/>
        <w:numPr>
          <w:ilvl w:val="0"/>
          <w:numId w:val="27"/>
        </w:numPr>
      </w:pPr>
      <w:r w:rsidRPr="0011693B">
        <w:t>Make a customs declaration for transit or temporary admission </w:t>
      </w:r>
    </w:p>
    <w:p w14:paraId="636EED63" w14:textId="77777777" w:rsidR="0011693B" w:rsidRPr="0011693B" w:rsidRDefault="0011693B" w:rsidP="001639E2">
      <w:pPr>
        <w:pStyle w:val="ListParagraph"/>
        <w:numPr>
          <w:ilvl w:val="0"/>
          <w:numId w:val="28"/>
        </w:numPr>
      </w:pPr>
      <w:r w:rsidRPr="0011693B">
        <w:t>Apply for customs decisions </w:t>
      </w:r>
    </w:p>
    <w:p w14:paraId="3195E5F4" w14:textId="77777777" w:rsidR="0011693B" w:rsidRPr="0011693B" w:rsidRDefault="0011693B" w:rsidP="001639E2">
      <w:pPr>
        <w:pStyle w:val="ListParagraph"/>
        <w:numPr>
          <w:ilvl w:val="0"/>
          <w:numId w:val="29"/>
        </w:numPr>
      </w:pPr>
      <w:r w:rsidRPr="0011693B">
        <w:t>Entry or exit summary declarations </w:t>
      </w:r>
    </w:p>
    <w:p w14:paraId="5EA38633" w14:textId="77777777" w:rsidR="0011693B" w:rsidRPr="0011693B" w:rsidRDefault="0011693B" w:rsidP="001639E2">
      <w:pPr>
        <w:pStyle w:val="ListParagraph"/>
        <w:numPr>
          <w:ilvl w:val="0"/>
          <w:numId w:val="30"/>
        </w:numPr>
      </w:pPr>
      <w:r w:rsidRPr="0011693B">
        <w:t>Get a guarantee for temporary admission or a re-export declaration </w:t>
      </w:r>
    </w:p>
    <w:p w14:paraId="42603416" w14:textId="77777777" w:rsidR="0011693B" w:rsidRPr="0011693B" w:rsidRDefault="0011693B" w:rsidP="001639E2">
      <w:pPr>
        <w:pStyle w:val="ListParagraph"/>
        <w:numPr>
          <w:ilvl w:val="0"/>
          <w:numId w:val="31"/>
        </w:numPr>
      </w:pPr>
      <w:r w:rsidRPr="0011693B">
        <w:t>Temporary storage declarations </w:t>
      </w:r>
    </w:p>
    <w:p w14:paraId="7FBAF67F" w14:textId="77777777" w:rsidR="0011693B" w:rsidRPr="0011693B" w:rsidRDefault="0011693B" w:rsidP="001639E2">
      <w:pPr>
        <w:pStyle w:val="ListParagraph"/>
        <w:numPr>
          <w:ilvl w:val="0"/>
          <w:numId w:val="32"/>
        </w:numPr>
      </w:pPr>
      <w:r w:rsidRPr="0011693B">
        <w:t>Act as a carrier to transport goods by sea, air or inland waterways </w:t>
      </w:r>
    </w:p>
    <w:p w14:paraId="428F636B" w14:textId="77777777" w:rsidR="0011693B" w:rsidRPr="0011693B" w:rsidRDefault="0011693B" w:rsidP="001639E2">
      <w:pPr>
        <w:pStyle w:val="ListParagraph"/>
        <w:numPr>
          <w:ilvl w:val="0"/>
          <w:numId w:val="33"/>
        </w:numPr>
      </w:pPr>
      <w:r w:rsidRPr="0011693B">
        <w:t>Act as a carrier so you can receive notifications and declarations via a direct online connection to the customs system </w:t>
      </w:r>
    </w:p>
    <w:p w14:paraId="11E5CE53" w14:textId="77777777" w:rsidR="0011693B" w:rsidRPr="0011693B" w:rsidRDefault="0011693B" w:rsidP="001639E2">
      <w:pPr>
        <w:pStyle w:val="ListParagraph"/>
        <w:numPr>
          <w:ilvl w:val="0"/>
          <w:numId w:val="34"/>
        </w:numPr>
      </w:pPr>
      <w:r w:rsidRPr="0011693B">
        <w:t>Make a declaration under the Transit procedure as a Pre-departure declaration or instead of an entry summary declaration </w:t>
      </w:r>
    </w:p>
    <w:p w14:paraId="566A8CB2" w14:textId="77777777" w:rsidR="00D8010C" w:rsidRDefault="00D8010C" w:rsidP="001639E2"/>
    <w:p w14:paraId="38290073" w14:textId="7800EBFF" w:rsidR="0011693B" w:rsidRPr="0011693B" w:rsidRDefault="0011693B" w:rsidP="001639E2">
      <w:r w:rsidRPr="0011693B">
        <w:t>Submit the form </w:t>
      </w:r>
    </w:p>
    <w:p w14:paraId="510156E4" w14:textId="77777777" w:rsidR="00D8010C" w:rsidRDefault="00D8010C" w:rsidP="001639E2"/>
    <w:p w14:paraId="1802FB65" w14:textId="50A47AA1" w:rsidR="0011693B" w:rsidRPr="0011693B" w:rsidRDefault="0011693B" w:rsidP="001639E2">
      <w:r w:rsidRPr="0011693B">
        <w:t>You should receive your XI EORI number within 4–5 working days. </w:t>
      </w:r>
    </w:p>
    <w:p w14:paraId="45730D56" w14:textId="77777777" w:rsidR="0011693B" w:rsidRPr="0011693B" w:rsidRDefault="0011693B" w:rsidP="001639E2">
      <w:r w:rsidRPr="0011693B">
        <w:t> </w:t>
      </w:r>
    </w:p>
    <w:p w14:paraId="69D36632" w14:textId="03300A4F" w:rsidR="0011693B" w:rsidRPr="00D8010C" w:rsidRDefault="0011693B" w:rsidP="001639E2">
      <w:r w:rsidRPr="0011693B">
        <w:t>Key Notes</w:t>
      </w:r>
      <w:r w:rsidR="00D8010C" w:rsidRPr="00D8010C">
        <w:t>:</w:t>
      </w:r>
    </w:p>
    <w:p w14:paraId="0509923C" w14:textId="77777777" w:rsidR="00D8010C" w:rsidRPr="0011693B" w:rsidRDefault="00D8010C" w:rsidP="001639E2"/>
    <w:p w14:paraId="6E0470B7" w14:textId="77777777" w:rsidR="0011693B" w:rsidRPr="0011693B" w:rsidRDefault="0011693B" w:rsidP="001639E2">
      <w:pPr>
        <w:pStyle w:val="ListParagraph"/>
        <w:numPr>
          <w:ilvl w:val="0"/>
          <w:numId w:val="36"/>
        </w:numPr>
      </w:pPr>
      <w:r w:rsidRPr="0011693B">
        <w:t>You must have a GB EORI before applying for an XI EORI. </w:t>
      </w:r>
    </w:p>
    <w:p w14:paraId="3B65138B" w14:textId="349BA739" w:rsidR="0011693B" w:rsidRPr="0011693B" w:rsidRDefault="0011693B" w:rsidP="001639E2">
      <w:pPr>
        <w:pStyle w:val="ListParagraph"/>
        <w:numPr>
          <w:ilvl w:val="0"/>
          <w:numId w:val="37"/>
        </w:numPr>
      </w:pPr>
      <w:r w:rsidRPr="0011693B">
        <w:t xml:space="preserve">You </w:t>
      </w:r>
      <w:r w:rsidR="00D8010C" w:rsidRPr="0011693B">
        <w:t>do not</w:t>
      </w:r>
      <w:r w:rsidRPr="0011693B">
        <w:t xml:space="preserve"> need a Northern Ireland business establishment to apply. </w:t>
      </w:r>
    </w:p>
    <w:p w14:paraId="1C13AF0C" w14:textId="77777777" w:rsidR="00D8010C" w:rsidRDefault="00D8010C" w:rsidP="001639E2"/>
    <w:p w14:paraId="2FAB871A" w14:textId="5BE32782" w:rsidR="0011693B" w:rsidRDefault="0011693B" w:rsidP="001639E2">
      <w:r w:rsidRPr="0011693B">
        <w:t xml:space="preserve">Critically, as almost everyone trades with Northern Ireland at some point in some way, there seems to be no reason why you </w:t>
      </w:r>
      <w:r w:rsidR="00D8010C" w:rsidRPr="0011693B">
        <w:t>cannot</w:t>
      </w:r>
      <w:r w:rsidRPr="0011693B">
        <w:t xml:space="preserve"> get an XI EORI, and therefore access to Traces should not be an issue.</w:t>
      </w:r>
    </w:p>
    <w:p w14:paraId="67A05A9A" w14:textId="77777777" w:rsidR="00A67B38" w:rsidRDefault="00A67B38" w:rsidP="001639E2"/>
    <w:p w14:paraId="3DF003B6" w14:textId="1E5B5AB3" w:rsidR="3E7DBA68" w:rsidRDefault="4C0EAA2B" w:rsidP="0A88F668">
      <w:pPr>
        <w:pStyle w:val="Heading2"/>
      </w:pPr>
      <w:bookmarkStart w:id="11" w:name="_Toc237262939"/>
      <w:r>
        <w:t>How to obtain approval to access EU Traces</w:t>
      </w:r>
      <w:bookmarkEnd w:id="11"/>
    </w:p>
    <w:p w14:paraId="1CC07A27" w14:textId="7E37BF6C" w:rsidR="0A88F668" w:rsidRDefault="0A88F668"/>
    <w:p w14:paraId="36817CDC" w14:textId="08707E21" w:rsidR="00A67B38" w:rsidRDefault="32AA66B4" w:rsidP="001639E2">
      <w:r>
        <w:t xml:space="preserve">A member of the T&amp;FWG applied for an XI EORI number and </w:t>
      </w:r>
      <w:r w:rsidR="50920E8F">
        <w:t xml:space="preserve">was </w:t>
      </w:r>
      <w:r>
        <w:t xml:space="preserve">granted one very quickly. </w:t>
      </w:r>
      <w:r w:rsidR="00A67B38">
        <w:t>The</w:t>
      </w:r>
      <w:r w:rsidR="56953886">
        <w:t xml:space="preserve">y did have an issue </w:t>
      </w:r>
      <w:r w:rsidR="74644BE9">
        <w:t xml:space="preserve">then trying to register on EU Traces. The following document was sent to them by the EU </w:t>
      </w:r>
      <w:r w:rsidR="004D5499">
        <w:t>Commission</w:t>
      </w:r>
      <w:r w:rsidR="74644BE9">
        <w:t>, so that they could be approved to use EU Traces</w:t>
      </w:r>
      <w:r w:rsidR="002300F1" w:rsidRPr="0A88F668">
        <w:rPr>
          <w:rStyle w:val="FootnoteReference"/>
        </w:rPr>
        <w:footnoteReference w:id="1"/>
      </w:r>
      <w:r w:rsidR="002300F1">
        <w:t xml:space="preserve">: </w:t>
      </w:r>
      <w:hyperlink r:id="rId20" w:history="1">
        <w:r w:rsidR="002300F1" w:rsidRPr="00654B07">
          <w:rPr>
            <w:rStyle w:val="Hyperlink"/>
          </w:rPr>
          <w:t>Manual creation of a user</w:t>
        </w:r>
      </w:hyperlink>
      <w:r w:rsidR="002300F1" w:rsidRPr="00654B07">
        <w:t>.</w:t>
      </w:r>
      <w:r w:rsidR="002300F1">
        <w:t xml:space="preserve"> </w:t>
      </w:r>
    </w:p>
    <w:p w14:paraId="5B13DF75" w14:textId="4FB06FDB" w:rsidR="00D8010C" w:rsidRDefault="00D8010C" w:rsidP="001639E2"/>
    <w:p w14:paraId="3CF861AF" w14:textId="74B9A32C" w:rsidR="6937F887" w:rsidRDefault="5BC6E34B" w:rsidP="164D15C9">
      <w:pPr>
        <w:pStyle w:val="Heading1"/>
      </w:pPr>
      <w:bookmarkStart w:id="12" w:name="_Toc237262940"/>
      <w:r>
        <w:t>How to create a Due Diligence Statement (DDS)</w:t>
      </w:r>
      <w:bookmarkEnd w:id="12"/>
    </w:p>
    <w:p w14:paraId="38415828" w14:textId="263B47C3" w:rsidR="164D15C9" w:rsidRDefault="164D15C9" w:rsidP="164D15C9"/>
    <w:p w14:paraId="1A9D8D80" w14:textId="15663139" w:rsidR="4D2E33F9" w:rsidRDefault="00D37592" w:rsidP="164D15C9">
      <w:r>
        <w:t xml:space="preserve">Each UK organisation is going to have to </w:t>
      </w:r>
      <w:r w:rsidR="000E7578">
        <w:t>decide</w:t>
      </w:r>
      <w:r>
        <w:t xml:space="preserve"> as to how it is going to comply with EUDR. </w:t>
      </w:r>
      <w:r w:rsidR="003B1D1F">
        <w:t>As the UK is outside the EU then an organisation</w:t>
      </w:r>
      <w:r w:rsidR="00F25769">
        <w:t>’</w:t>
      </w:r>
      <w:r w:rsidR="003B1D1F">
        <w:t>s responsibility is to pass</w:t>
      </w:r>
      <w:r w:rsidR="00F00938">
        <w:t xml:space="preserve"> the geolocation data down the supply chain. </w:t>
      </w:r>
      <w:r w:rsidR="000E7578">
        <w:t xml:space="preserve">The </w:t>
      </w:r>
      <w:r w:rsidR="00707E77">
        <w:t>onus</w:t>
      </w:r>
      <w:r w:rsidR="000E7578">
        <w:t xml:space="preserve"> is on the EU customer/importer of record to have created a DDS for the product</w:t>
      </w:r>
      <w:r w:rsidR="00707E77">
        <w:t xml:space="preserve"> to be imported to the EU.</w:t>
      </w:r>
      <w:r w:rsidR="00052862">
        <w:t xml:space="preserve"> </w:t>
      </w:r>
      <w:r w:rsidR="00052862" w:rsidRPr="757DEF86">
        <w:rPr>
          <w:rStyle w:val="None"/>
        </w:rPr>
        <w:t>T</w:t>
      </w:r>
      <w:r w:rsidR="00052862">
        <w:t>he DDS needs to be created by the EU customer/importer so that the competent authorities, responsible for auditing EUDR, can check that product is compliant with the regulation. These competent authorities do not have jurisdiction to audit countries outside the EU</w:t>
      </w:r>
      <w:r w:rsidR="00B667F0">
        <w:t>, hence the reason why a DDS has to be created in the EU.</w:t>
      </w:r>
      <w:r w:rsidR="000E7578">
        <w:t xml:space="preserve"> </w:t>
      </w:r>
      <w:r w:rsidR="00BC259A">
        <w:t>The only time a UK organisation might have to create a DDS is if they are acting as a Non-EU Operator</w:t>
      </w:r>
      <w:r w:rsidR="0035096A">
        <w:t>, and placing goods on the EU market</w:t>
      </w:r>
      <w:r w:rsidR="007919CA">
        <w:t>, therefore they will need to understand the following process.</w:t>
      </w:r>
    </w:p>
    <w:p w14:paraId="73F1B081" w14:textId="77777777" w:rsidR="00F25769" w:rsidRDefault="00F25769" w:rsidP="164D15C9"/>
    <w:p w14:paraId="42136A72" w14:textId="270C0637" w:rsidR="00F25769" w:rsidRDefault="00F25769" w:rsidP="164D15C9">
      <w:r>
        <w:t>So, i</w:t>
      </w:r>
      <w:r w:rsidRPr="00F25769">
        <w:t>f your organisation has access to the EU Traces system and is going to create DDS then this (below) is the process.</w:t>
      </w:r>
    </w:p>
    <w:p w14:paraId="6FDED958" w14:textId="102FCEE5" w:rsidR="164D15C9" w:rsidRDefault="164D15C9" w:rsidP="164D15C9"/>
    <w:p w14:paraId="21547602" w14:textId="103859C9" w:rsidR="12B46DB6" w:rsidRDefault="37A9A35A" w:rsidP="164D15C9">
      <w:r>
        <w:t>You will need the following information</w:t>
      </w:r>
      <w:r w:rsidR="54C37104">
        <w:t xml:space="preserve"> to produce </w:t>
      </w:r>
      <w:r w:rsidR="00253244">
        <w:t>a</w:t>
      </w:r>
      <w:r w:rsidR="54C37104">
        <w:t xml:space="preserve"> DDS</w:t>
      </w:r>
      <w:r>
        <w:t>:</w:t>
      </w:r>
    </w:p>
    <w:p w14:paraId="59451CB2" w14:textId="3943D1E9" w:rsidR="164D15C9" w:rsidRDefault="164D15C9" w:rsidP="164D15C9"/>
    <w:p w14:paraId="132BC4E9" w14:textId="6CC97531" w:rsidR="12B46DB6" w:rsidRDefault="37A9A35A" w:rsidP="337696F5">
      <w:pPr>
        <w:pStyle w:val="ListParagraph"/>
        <w:numPr>
          <w:ilvl w:val="0"/>
          <w:numId w:val="4"/>
        </w:numPr>
        <w:rPr>
          <w:rFonts w:ascii="Century Gothic" w:eastAsia="Century Gothic" w:hAnsi="Century Gothic" w:cs="Century Gothic"/>
          <w:color w:val="242424"/>
        </w:rPr>
      </w:pPr>
      <w:r>
        <w:t>Internal Reference number [Optional]</w:t>
      </w:r>
      <w:r w:rsidR="136CAA7D">
        <w:t>,</w:t>
      </w:r>
    </w:p>
    <w:p w14:paraId="4432308B" w14:textId="3C0724F8" w:rsidR="12B46DB6" w:rsidRDefault="37A9A35A" w:rsidP="337696F5">
      <w:pPr>
        <w:pStyle w:val="ListParagraph"/>
        <w:numPr>
          <w:ilvl w:val="0"/>
          <w:numId w:val="4"/>
        </w:numPr>
        <w:rPr>
          <w:rFonts w:ascii="Century Gothic" w:eastAsia="Century Gothic" w:hAnsi="Century Gothic" w:cs="Century Gothic"/>
          <w:color w:val="242424"/>
        </w:rPr>
      </w:pPr>
      <w:r>
        <w:t>Activity [Required] – In most cases this will be “Import”, as import to the EU</w:t>
      </w:r>
      <w:r w:rsidR="7302BE99">
        <w:t>,</w:t>
      </w:r>
    </w:p>
    <w:p w14:paraId="0A91DD78" w14:textId="1C717868" w:rsidR="12B46DB6" w:rsidRDefault="37A9A35A" w:rsidP="337696F5">
      <w:pPr>
        <w:pStyle w:val="ListParagraph"/>
        <w:numPr>
          <w:ilvl w:val="0"/>
          <w:numId w:val="4"/>
        </w:numPr>
        <w:rPr>
          <w:rFonts w:ascii="Century Gothic" w:eastAsia="Century Gothic" w:hAnsi="Century Gothic" w:cs="Century Gothic"/>
          <w:color w:val="242424"/>
        </w:rPr>
      </w:pPr>
      <w:r>
        <w:t>Commodity Description [Required] – This could be the ISBN and Title for example</w:t>
      </w:r>
      <w:r w:rsidR="20ECB75F">
        <w:t>,</w:t>
      </w:r>
    </w:p>
    <w:p w14:paraId="52AE37ED" w14:textId="5C1AE37B" w:rsidR="12B46DB6" w:rsidRDefault="37A9A35A" w:rsidP="337696F5">
      <w:pPr>
        <w:pStyle w:val="ListParagraph"/>
        <w:numPr>
          <w:ilvl w:val="0"/>
          <w:numId w:val="4"/>
        </w:numPr>
        <w:rPr>
          <w:rFonts w:ascii="Century Gothic" w:eastAsia="Century Gothic" w:hAnsi="Century Gothic" w:cs="Century Gothic"/>
          <w:color w:val="242424"/>
        </w:rPr>
      </w:pPr>
      <w:r>
        <w:lastRenderedPageBreak/>
        <w:t xml:space="preserve">Net Mass [Required] – Should be the mass of the product, i.e. weight of a </w:t>
      </w:r>
      <w:r w:rsidR="005E3F14">
        <w:t xml:space="preserve">Chapter 48 product </w:t>
      </w:r>
      <w:r>
        <w:t xml:space="preserve">x number of </w:t>
      </w:r>
      <w:r w:rsidR="00455899">
        <w:t xml:space="preserve">items </w:t>
      </w:r>
      <w:r>
        <w:t>to be covered by the DDS</w:t>
      </w:r>
      <w:r w:rsidR="619DE9DC">
        <w:t>,</w:t>
      </w:r>
    </w:p>
    <w:p w14:paraId="3EF88572" w14:textId="7B70774C" w:rsidR="12B46DB6" w:rsidRPr="0019399D" w:rsidRDefault="37A9A35A" w:rsidP="0019399D">
      <w:pPr>
        <w:pStyle w:val="ListParagraph"/>
        <w:numPr>
          <w:ilvl w:val="0"/>
          <w:numId w:val="4"/>
        </w:numPr>
        <w:rPr>
          <w:rFonts w:ascii="Century Gothic" w:eastAsia="Century Gothic" w:hAnsi="Century Gothic" w:cs="Century Gothic"/>
          <w:color w:val="242424"/>
        </w:rPr>
      </w:pPr>
      <w:r w:rsidRPr="00A30A0E">
        <w:t>Commodity code [Required</w:t>
      </w:r>
      <w:r>
        <w:t>] – This will be “</w:t>
      </w:r>
      <w:r w:rsidR="008773B2">
        <w:t>48</w:t>
      </w:r>
      <w:r w:rsidR="001E3D89">
        <w:t>20</w:t>
      </w:r>
      <w:r>
        <w:t>” (</w:t>
      </w:r>
      <w:r w:rsidR="008E36DA">
        <w:t>For r</w:t>
      </w:r>
      <w:r w:rsidR="00EA69A2" w:rsidRPr="00EA69A2">
        <w:t>egisters, account books, notebooks, order books, receipt books, letter pads, memorandum pads, diaries and similar articles, exercise books, blotting pads, binders (loose-leaf or other), folders, file covers, manifold business forms, interleaved carbon sets and other articles of stationery, of paper or paperboard; albums for samples or for collections and book covers, of paper or paperboard</w:t>
      </w:r>
      <w:r w:rsidR="0019399D">
        <w:t>) i</w:t>
      </w:r>
      <w:r>
        <w:t>n most cases</w:t>
      </w:r>
      <w:r w:rsidR="4C0DC3DE">
        <w:t>,</w:t>
      </w:r>
    </w:p>
    <w:p w14:paraId="7C7EFFD1" w14:textId="60714B93" w:rsidR="12B46DB6" w:rsidRDefault="37A9A35A" w:rsidP="337696F5">
      <w:pPr>
        <w:pStyle w:val="ListParagraph"/>
        <w:numPr>
          <w:ilvl w:val="0"/>
          <w:numId w:val="4"/>
        </w:numPr>
        <w:rPr>
          <w:rFonts w:ascii="Century Gothic" w:eastAsia="Century Gothic" w:hAnsi="Century Gothic" w:cs="Century Gothic"/>
          <w:color w:val="242424"/>
        </w:rPr>
      </w:pPr>
      <w:r>
        <w:t>Scientific names of trees [Required</w:t>
      </w:r>
      <w:r w:rsidR="41D5D055">
        <w:t>]</w:t>
      </w:r>
    </w:p>
    <w:p w14:paraId="7B022543" w14:textId="573CA76E" w:rsidR="12B46DB6" w:rsidRDefault="41D5D055" w:rsidP="337696F5">
      <w:pPr>
        <w:pStyle w:val="ListParagraph"/>
        <w:numPr>
          <w:ilvl w:val="0"/>
          <w:numId w:val="4"/>
        </w:numPr>
        <w:rPr>
          <w:rFonts w:ascii="Century Gothic" w:eastAsia="Century Gothic" w:hAnsi="Century Gothic" w:cs="Century Gothic"/>
          <w:color w:val="242424"/>
        </w:rPr>
      </w:pPr>
      <w:r>
        <w:t>Common name of trees [Optional</w:t>
      </w:r>
      <w:r w:rsidR="37A9A35A">
        <w:t>]</w:t>
      </w:r>
      <w:r w:rsidR="7507CD30">
        <w:t>,</w:t>
      </w:r>
    </w:p>
    <w:p w14:paraId="61484236" w14:textId="3F7DE74A" w:rsidR="12B46DB6" w:rsidRDefault="37A9A35A" w:rsidP="337696F5">
      <w:pPr>
        <w:pStyle w:val="ListParagraph"/>
        <w:numPr>
          <w:ilvl w:val="0"/>
          <w:numId w:val="4"/>
        </w:numPr>
        <w:rPr>
          <w:rFonts w:ascii="Century Gothic" w:eastAsia="Century Gothic" w:hAnsi="Century Gothic" w:cs="Century Gothic"/>
          <w:color w:val="242424"/>
        </w:rPr>
      </w:pPr>
      <w:r>
        <w:t>Produce</w:t>
      </w:r>
      <w:r w:rsidR="05101295">
        <w:t>r</w:t>
      </w:r>
      <w:r>
        <w:t xml:space="preserve"> name [Optional] – Name of the harvester of the trees</w:t>
      </w:r>
      <w:r w:rsidR="7B05915F">
        <w:t>,</w:t>
      </w:r>
    </w:p>
    <w:p w14:paraId="7C1EEEBA" w14:textId="394DC259" w:rsidR="12B46DB6" w:rsidRDefault="37A9A35A" w:rsidP="337696F5">
      <w:pPr>
        <w:pStyle w:val="ListParagraph"/>
        <w:numPr>
          <w:ilvl w:val="0"/>
          <w:numId w:val="4"/>
        </w:numPr>
        <w:rPr>
          <w:rFonts w:ascii="Century Gothic" w:eastAsia="Century Gothic" w:hAnsi="Century Gothic" w:cs="Century Gothic"/>
          <w:color w:val="242424"/>
        </w:rPr>
      </w:pPr>
      <w:r>
        <w:t xml:space="preserve">Production country [Required] – This is the place of harvest of the trees, NOT where </w:t>
      </w:r>
      <w:r w:rsidR="00A07586">
        <w:t>the Chapter 48 product</w:t>
      </w:r>
      <w:r>
        <w:t xml:space="preserve"> were produced</w:t>
      </w:r>
      <w:r w:rsidR="792C1ADF">
        <w:t>,</w:t>
      </w:r>
    </w:p>
    <w:p w14:paraId="0FB9FF77" w14:textId="7CF5CBC7" w:rsidR="12B46DB6" w:rsidRDefault="37A9A35A" w:rsidP="337696F5">
      <w:pPr>
        <w:pStyle w:val="ListParagraph"/>
        <w:numPr>
          <w:ilvl w:val="0"/>
          <w:numId w:val="4"/>
        </w:numPr>
        <w:rPr>
          <w:rFonts w:ascii="Century Gothic" w:eastAsia="Century Gothic" w:hAnsi="Century Gothic" w:cs="Century Gothic"/>
          <w:color w:val="242424"/>
        </w:rPr>
      </w:pPr>
      <w:r>
        <w:t xml:space="preserve">Production places geocoordinates [Required] – Either a point reference, polygon, can be a </w:t>
      </w:r>
      <w:proofErr w:type="spellStart"/>
      <w:r w:rsidR="38CE7631">
        <w:t>G</w:t>
      </w:r>
      <w:r>
        <w:t>eo</w:t>
      </w:r>
      <w:r w:rsidR="3D30BD37">
        <w:t>JSON</w:t>
      </w:r>
      <w:proofErr w:type="spellEnd"/>
      <w:r>
        <w:t xml:space="preserve"> file or manual entry</w:t>
      </w:r>
      <w:r w:rsidR="7D2B769B">
        <w:t>,</w:t>
      </w:r>
    </w:p>
    <w:p w14:paraId="4EB66CC8" w14:textId="0E199216" w:rsidR="164D15C9" w:rsidRPr="004B3464" w:rsidRDefault="37A9A35A" w:rsidP="00371C38">
      <w:pPr>
        <w:pStyle w:val="ListParagraph"/>
        <w:numPr>
          <w:ilvl w:val="0"/>
          <w:numId w:val="4"/>
        </w:numPr>
        <w:rPr>
          <w:rFonts w:ascii="Century Gothic" w:eastAsia="Century Gothic" w:hAnsi="Century Gothic" w:cs="Century Gothic"/>
          <w:color w:val="242424"/>
        </w:rPr>
      </w:pPr>
      <w:r>
        <w:t>Previous DDS references and verification numbers [Optional] – You can manual</w:t>
      </w:r>
      <w:r w:rsidR="00414632">
        <w:t>ly</w:t>
      </w:r>
      <w:r>
        <w:t xml:space="preserve"> enter or upload a CSV file.</w:t>
      </w:r>
      <w:r w:rsidR="1424BBA8">
        <w:t xml:space="preserve"> </w:t>
      </w:r>
      <w:r w:rsidR="1424BBA8" w:rsidRPr="004B3464">
        <w:rPr>
          <w:b/>
          <w:bCs/>
        </w:rPr>
        <w:t>However,</w:t>
      </w:r>
      <w:r w:rsidRPr="004B3464">
        <w:rPr>
          <w:b/>
          <w:bCs/>
        </w:rPr>
        <w:t xml:space="preserve"> if you add these in, you would no longer be required to provide 6 through </w:t>
      </w:r>
      <w:r w:rsidR="2C716927" w:rsidRPr="004B3464">
        <w:rPr>
          <w:b/>
          <w:bCs/>
        </w:rPr>
        <w:t>10</w:t>
      </w:r>
      <w:r w:rsidRPr="004B3464">
        <w:rPr>
          <w:b/>
          <w:bCs/>
        </w:rPr>
        <w:t xml:space="preserve"> above, if the information is covered by the DDSs referred to</w:t>
      </w:r>
      <w:r w:rsidR="065958FC" w:rsidRPr="004B3464">
        <w:rPr>
          <w:b/>
          <w:bCs/>
        </w:rPr>
        <w:t>.</w:t>
      </w:r>
      <w:r w:rsidR="00B1695F" w:rsidRPr="004B3464">
        <w:rPr>
          <w:b/>
          <w:bCs/>
        </w:rPr>
        <w:t xml:space="preserve"> </w:t>
      </w:r>
    </w:p>
    <w:p w14:paraId="02E4E02F" w14:textId="77777777" w:rsidR="004B3464" w:rsidRPr="004B3464" w:rsidRDefault="004B3464" w:rsidP="004B3464">
      <w:pPr>
        <w:pStyle w:val="ListParagraph"/>
        <w:ind w:left="720"/>
        <w:rPr>
          <w:rFonts w:ascii="Century Gothic" w:eastAsia="Century Gothic" w:hAnsi="Century Gothic" w:cs="Century Gothic"/>
          <w:color w:val="242424"/>
        </w:rPr>
      </w:pPr>
    </w:p>
    <w:p w14:paraId="7E5403AC" w14:textId="4AAC9F3F" w:rsidR="3A4795E3" w:rsidRDefault="09933D32" w:rsidP="751447A4">
      <w:pPr>
        <w:spacing w:line="259" w:lineRule="auto"/>
      </w:pPr>
      <w:r>
        <w:t>Please use this link to view the</w:t>
      </w:r>
      <w:r w:rsidR="007EDD32">
        <w:t xml:space="preserve"> latest</w:t>
      </w:r>
      <w:r>
        <w:t xml:space="preserve"> EU step-by-step guide to </w:t>
      </w:r>
      <w:hyperlink r:id="rId21">
        <w:r w:rsidRPr="337696F5">
          <w:rPr>
            <w:rStyle w:val="Hyperlink"/>
          </w:rPr>
          <w:t>creating a DDS</w:t>
        </w:r>
        <w:r w:rsidR="2D34B64A" w:rsidRPr="337696F5">
          <w:rPr>
            <w:rStyle w:val="Hyperlink"/>
          </w:rPr>
          <w:t>.</w:t>
        </w:r>
      </w:hyperlink>
    </w:p>
    <w:p w14:paraId="0F243C88" w14:textId="5A451217" w:rsidR="164D15C9" w:rsidRDefault="164D15C9" w:rsidP="164D15C9"/>
    <w:p w14:paraId="0F6A6003" w14:textId="03D7520A" w:rsidR="164D15C9" w:rsidRDefault="089DF800" w:rsidP="337696F5">
      <w:pPr>
        <w:rPr>
          <w:rFonts w:eastAsia="Public Sans" w:cs="Public Sans"/>
        </w:rPr>
      </w:pPr>
      <w:r>
        <w:t xml:space="preserve">It is worth noting that a DDS can be amended all </w:t>
      </w:r>
      <w:r w:rsidR="00414632">
        <w:t xml:space="preserve">the </w:t>
      </w:r>
      <w:r>
        <w:t xml:space="preserve">time it is </w:t>
      </w:r>
      <w:r w:rsidR="00414632">
        <w:t xml:space="preserve">in </w:t>
      </w:r>
      <w:r>
        <w:t xml:space="preserve">draft form and there are no numbers created at that point. Once a DDS is </w:t>
      </w:r>
      <w:r w:rsidRPr="337696F5">
        <w:t>submitted and a VN number has been supplied it can be amended up to 48 hours after as long as no import or export has taken place.</w:t>
      </w:r>
    </w:p>
    <w:p w14:paraId="6C7E79F0" w14:textId="0CBA3581" w:rsidR="3A209900" w:rsidRDefault="3A209900">
      <w:r>
        <w:br w:type="page"/>
      </w:r>
    </w:p>
    <w:p w14:paraId="2CB6B12C" w14:textId="0D562E79" w:rsidR="00E14F13" w:rsidRDefault="2237E80C" w:rsidP="00E14F13">
      <w:pPr>
        <w:pStyle w:val="Heading1"/>
      </w:pPr>
      <w:bookmarkStart w:id="13" w:name="_Toc237262941"/>
      <w:r>
        <w:lastRenderedPageBreak/>
        <w:t>Data maps and explanations</w:t>
      </w:r>
      <w:bookmarkEnd w:id="13"/>
    </w:p>
    <w:p w14:paraId="7A0D5D52" w14:textId="77777777" w:rsidR="00E14F13" w:rsidRDefault="00E14F13" w:rsidP="0A88F668"/>
    <w:p w14:paraId="422CEC40" w14:textId="762BFAA3" w:rsidR="20795757" w:rsidRDefault="20795757">
      <w:r>
        <w:t>The main take away for every organisation is that they need to understand their position in the supply chain and what data is going to be passed down to them</w:t>
      </w:r>
      <w:r w:rsidR="0E1AD6D8">
        <w:t xml:space="preserve"> and in what format</w:t>
      </w:r>
      <w:r>
        <w:t xml:space="preserve">, and </w:t>
      </w:r>
      <w:r w:rsidR="080A8AE2">
        <w:t>how</w:t>
      </w:r>
      <w:r>
        <w:t xml:space="preserve"> they </w:t>
      </w:r>
      <w:r w:rsidR="2C095D4A">
        <w:t xml:space="preserve">will pass the data </w:t>
      </w:r>
      <w:r>
        <w:t>on.</w:t>
      </w:r>
    </w:p>
    <w:p w14:paraId="038E8ECC" w14:textId="4FDC7DFF" w:rsidR="0A88F668" w:rsidRDefault="0A88F668" w:rsidP="0A88F668"/>
    <w:p w14:paraId="6E58E693" w14:textId="16CD1213" w:rsidR="00DB4896" w:rsidRDefault="78326200">
      <w:r>
        <w:t>The T&amp;FWG have created four</w:t>
      </w:r>
      <w:r w:rsidR="498F335C">
        <w:t xml:space="preserve"> data</w:t>
      </w:r>
      <w:r>
        <w:t xml:space="preserve"> maps during the project</w:t>
      </w:r>
      <w:r w:rsidR="00731197">
        <w:t xml:space="preserve"> (posted separately on the BIC website)</w:t>
      </w:r>
      <w:r>
        <w:t xml:space="preserve">. </w:t>
      </w:r>
      <w:r w:rsidR="74A63161">
        <w:t xml:space="preserve">These maps look at the different </w:t>
      </w:r>
      <w:r w:rsidR="271A46D6">
        <w:t>supply routes</w:t>
      </w:r>
      <w:r w:rsidR="74A63161">
        <w:t xml:space="preserve"> of data required to </w:t>
      </w:r>
      <w:r w:rsidR="74A63161" w:rsidRPr="004B3464">
        <w:t xml:space="preserve">create the various Due Diligence Statements (DDS) </w:t>
      </w:r>
      <w:r w:rsidR="7C1BBE44" w:rsidRPr="004B3464">
        <w:t xml:space="preserve">that are required under EUDR. </w:t>
      </w:r>
      <w:r w:rsidR="00346C7C">
        <w:t>The number of maps has been reduced to three as POD</w:t>
      </w:r>
      <w:r w:rsidR="00224E23">
        <w:t xml:space="preserve"> covers Chapter 49 product that is no longer covered by EUDR. </w:t>
      </w:r>
      <w:r w:rsidR="00DB4896">
        <w:t xml:space="preserve">These maps </w:t>
      </w:r>
      <w:r w:rsidR="00F06CDB">
        <w:t>have been reviewed and modified in line with the EU Commissions simplification to the EUDR process</w:t>
      </w:r>
      <w:r w:rsidR="00DB4896">
        <w:t>.</w:t>
      </w:r>
    </w:p>
    <w:p w14:paraId="4516898D" w14:textId="77777777" w:rsidR="00DB4896" w:rsidRDefault="00DB4896"/>
    <w:p w14:paraId="7AE7841A" w14:textId="55B2D0A9" w:rsidR="0048408D" w:rsidRDefault="7C1BBE44">
      <w:r w:rsidRPr="004B3464">
        <w:t>The data</w:t>
      </w:r>
      <w:r w:rsidR="2AF207CA" w:rsidRPr="004B3464">
        <w:t xml:space="preserve"> </w:t>
      </w:r>
      <w:r w:rsidR="3FB0E80E" w:rsidRPr="004B3464">
        <w:t>sh</w:t>
      </w:r>
      <w:r w:rsidR="2AF207CA" w:rsidRPr="004B3464">
        <w:t xml:space="preserve">ould </w:t>
      </w:r>
      <w:r w:rsidR="5DE77BE8" w:rsidRPr="004B3464">
        <w:t>start</w:t>
      </w:r>
      <w:r w:rsidR="2AF207CA" w:rsidRPr="004B3464">
        <w:t xml:space="preserve"> as a DDS for papers produced in the EU</w:t>
      </w:r>
      <w:r w:rsidR="008D3099" w:rsidRPr="004B3464">
        <w:t xml:space="preserve">, but </w:t>
      </w:r>
      <w:r w:rsidR="00392DDE" w:rsidRPr="004B3464">
        <w:t xml:space="preserve">whilst </w:t>
      </w:r>
      <w:r w:rsidR="008D3099" w:rsidRPr="004B3464">
        <w:t>p</w:t>
      </w:r>
      <w:r w:rsidR="2AF207CA" w:rsidRPr="004B3464">
        <w:t>apers from outside the EU are more likely to</w:t>
      </w:r>
      <w:r w:rsidR="6AE8EE95" w:rsidRPr="004B3464">
        <w:t xml:space="preserve"> come with the</w:t>
      </w:r>
      <w:r w:rsidR="2AF207CA" w:rsidRPr="004B3464">
        <w:t xml:space="preserve"> </w:t>
      </w:r>
      <w:r w:rsidR="093C70F6" w:rsidRPr="004B3464">
        <w:t xml:space="preserve">raw data around the geolocation and </w:t>
      </w:r>
      <w:r w:rsidR="3D7570EA" w:rsidRPr="004B3464">
        <w:t xml:space="preserve">tree </w:t>
      </w:r>
      <w:r w:rsidR="093C70F6" w:rsidRPr="004B3464">
        <w:t>species that have gone into making the paper.</w:t>
      </w:r>
      <w:r w:rsidR="2FF1D521" w:rsidRPr="004B3464">
        <w:t xml:space="preserve"> </w:t>
      </w:r>
      <w:r w:rsidR="00C01E6F" w:rsidRPr="004B3464">
        <w:t>Where</w:t>
      </w:r>
      <w:r w:rsidR="0D1F54FB" w:rsidRPr="004B3464">
        <w:t xml:space="preserve"> geolocation and </w:t>
      </w:r>
      <w:r w:rsidR="16876857" w:rsidRPr="004B3464">
        <w:t xml:space="preserve">tree </w:t>
      </w:r>
      <w:r w:rsidR="0D1F54FB" w:rsidRPr="004B3464">
        <w:t xml:space="preserve">species data </w:t>
      </w:r>
      <w:r w:rsidR="00414632">
        <w:t>are</w:t>
      </w:r>
      <w:r w:rsidR="0D1F54FB" w:rsidRPr="004B3464">
        <w:t xml:space="preserve"> already in a DDS for an EU paper</w:t>
      </w:r>
      <w:r w:rsidR="00C01E6F" w:rsidRPr="004B3464">
        <w:t>,</w:t>
      </w:r>
      <w:r w:rsidR="0D1F54FB" w:rsidRPr="004B3464">
        <w:t xml:space="preserve"> only the DDS reference and verification numbers are </w:t>
      </w:r>
      <w:r w:rsidR="39231007" w:rsidRPr="004B3464">
        <w:t>required</w:t>
      </w:r>
      <w:r w:rsidR="1472D9EE" w:rsidRPr="004B3464">
        <w:t xml:space="preserve"> to be passed down the supply chain</w:t>
      </w:r>
      <w:r w:rsidR="00DB4896">
        <w:t xml:space="preserve"> but only from the Operator creating the DDS to the First Downstream Operator</w:t>
      </w:r>
      <w:r w:rsidR="39231007" w:rsidRPr="004B3464">
        <w:t xml:space="preserve">. </w:t>
      </w:r>
      <w:r w:rsidR="00CB7B2A" w:rsidRPr="004B3464">
        <w:t>Where a DDS is not provided, t</w:t>
      </w:r>
      <w:r w:rsidR="2FF1D521" w:rsidRPr="004B3464">
        <w:t xml:space="preserve">he geolocation will be provided as </w:t>
      </w:r>
      <w:proofErr w:type="spellStart"/>
      <w:r w:rsidR="2FF1D521" w:rsidRPr="004B3464">
        <w:t>GeoJSON</w:t>
      </w:r>
      <w:proofErr w:type="spellEnd"/>
      <w:r w:rsidR="2FF1D521" w:rsidRPr="004B3464">
        <w:t xml:space="preserve"> files</w:t>
      </w:r>
      <w:r w:rsidR="00CB7B2A" w:rsidRPr="004B3464">
        <w:t>; c</w:t>
      </w:r>
      <w:r w:rsidR="20525D9D" w:rsidRPr="004B3464">
        <w:t>urrently</w:t>
      </w:r>
      <w:r w:rsidR="2FF1D521" w:rsidRPr="004B3464">
        <w:t xml:space="preserve"> we are waiting to see how the tree species </w:t>
      </w:r>
      <w:r w:rsidR="41E578F1" w:rsidRPr="004B3464">
        <w:t>data will be supplied down the supply chain</w:t>
      </w:r>
      <w:r w:rsidR="41E578F1">
        <w:t xml:space="preserve">. </w:t>
      </w:r>
      <w:r w:rsidR="00C97F3E">
        <w:t xml:space="preserve">One of the simplifications proposed by the EU Commission is that small foresters will no longer provided geolocation data as a </w:t>
      </w:r>
      <w:proofErr w:type="spellStart"/>
      <w:r w:rsidR="00C97F3E">
        <w:t>GeoJSON</w:t>
      </w:r>
      <w:proofErr w:type="spellEnd"/>
      <w:r w:rsidR="00C97F3E">
        <w:t xml:space="preserve"> file, but as a post code instead. </w:t>
      </w:r>
      <w:r w:rsidR="00423975">
        <w:t>It is not clear how this will work in EU Traces.</w:t>
      </w:r>
    </w:p>
    <w:p w14:paraId="2083B3AD" w14:textId="77777777" w:rsidR="0048408D" w:rsidRDefault="0048408D"/>
    <w:p w14:paraId="31404C1B" w14:textId="36D7E4A5" w:rsidR="78326200" w:rsidRDefault="009D1BAF">
      <w:r w:rsidRPr="007A68C6">
        <w:t xml:space="preserve">During the manufacturing process the printer needs to record all the </w:t>
      </w:r>
      <w:r w:rsidR="00150EF7" w:rsidRPr="007A68C6">
        <w:t xml:space="preserve">paper DDSs and/or geolocation data that goes into the product. </w:t>
      </w:r>
      <w:r w:rsidR="002463D4" w:rsidRPr="007A68C6">
        <w:t xml:space="preserve">Once a product has been produced its commodity code </w:t>
      </w:r>
      <w:r w:rsidR="00F25769" w:rsidRPr="007A68C6">
        <w:t xml:space="preserve">will </w:t>
      </w:r>
      <w:r w:rsidR="002463D4" w:rsidRPr="007A68C6">
        <w:t>change from paper</w:t>
      </w:r>
      <w:r w:rsidR="00423975" w:rsidRPr="007A68C6">
        <w:t xml:space="preserve"> </w:t>
      </w:r>
      <w:hyperlink r:id="rId22" w:history="1">
        <w:r w:rsidR="00423975" w:rsidRPr="007A68C6">
          <w:rPr>
            <w:rStyle w:val="Hyperlink"/>
          </w:rPr>
          <w:t xml:space="preserve">HS Code </w:t>
        </w:r>
        <w:r w:rsidR="00D243CF" w:rsidRPr="007A68C6">
          <w:rPr>
            <w:rStyle w:val="Hyperlink"/>
          </w:rPr>
          <w:t>Chapter 47</w:t>
        </w:r>
      </w:hyperlink>
      <w:r w:rsidR="002463D4" w:rsidRPr="007A68C6">
        <w:t xml:space="preserve"> to </w:t>
      </w:r>
      <w:r w:rsidR="00D243CF" w:rsidRPr="007A68C6">
        <w:t xml:space="preserve">product </w:t>
      </w:r>
      <w:hyperlink r:id="rId23" w:history="1">
        <w:r w:rsidR="00D243CF" w:rsidRPr="007A68C6">
          <w:rPr>
            <w:rStyle w:val="Hyperlink"/>
          </w:rPr>
          <w:t>HS Code Chapter 48</w:t>
        </w:r>
      </w:hyperlink>
      <w:r w:rsidR="002463D4" w:rsidRPr="007A68C6">
        <w:t xml:space="preserve">. </w:t>
      </w:r>
      <w:r w:rsidR="00475E22" w:rsidRPr="007A68C6">
        <w:t>The printer will then need to pass the raw data down the supply chain so that either the Non-EU Operator or EU Operator can create the product DDS</w:t>
      </w:r>
      <w:r w:rsidR="0072515D" w:rsidRPr="007A68C6">
        <w:t xml:space="preserve"> when the goods are placed in the EU market.</w:t>
      </w:r>
    </w:p>
    <w:p w14:paraId="1062D1A6" w14:textId="77777777" w:rsidR="00E87DDE" w:rsidRDefault="00E87DDE"/>
    <w:p w14:paraId="1461FBB6" w14:textId="2F4FEF83" w:rsidR="00D27E18" w:rsidRDefault="00D27E18">
      <w:pPr>
        <w:rPr>
          <w:b/>
          <w:bCs/>
        </w:rPr>
      </w:pPr>
      <w:r>
        <w:rPr>
          <w:b/>
          <w:bCs/>
        </w:rPr>
        <w:t>Major changes to note:</w:t>
      </w:r>
    </w:p>
    <w:p w14:paraId="19D8ACFA" w14:textId="77777777" w:rsidR="00D27E18" w:rsidRPr="00F9500D" w:rsidRDefault="00D27E18">
      <w:pPr>
        <w:rPr>
          <w:b/>
          <w:bCs/>
        </w:rPr>
      </w:pPr>
    </w:p>
    <w:p w14:paraId="40E096B7" w14:textId="42120C5E" w:rsidR="00A11A69" w:rsidRDefault="00E87DDE" w:rsidP="00A11A69">
      <w:pPr>
        <w:pStyle w:val="ListParagraph"/>
        <w:numPr>
          <w:ilvl w:val="0"/>
          <w:numId w:val="44"/>
        </w:numPr>
      </w:pPr>
      <w:r>
        <w:t xml:space="preserve">The ability to “nest” or reference paper DDSs in the new </w:t>
      </w:r>
      <w:r w:rsidR="00822E79">
        <w:t>product DDS has been removed as part of the simplification process of EUDR</w:t>
      </w:r>
      <w:r w:rsidR="00F87CF7">
        <w:t xml:space="preserve">. This means raw data is going to have to be passed down the supply chain so DDSs can be created by the </w:t>
      </w:r>
      <w:r w:rsidR="00CA7B78">
        <w:t xml:space="preserve">Operator placing the goods on the EU market. </w:t>
      </w:r>
      <w:r w:rsidR="00216D03">
        <w:t xml:space="preserve">How this raw data is passed down the supply chain is going to be for organisations to </w:t>
      </w:r>
      <w:r w:rsidR="00A41B33">
        <w:t>establish</w:t>
      </w:r>
      <w:r w:rsidR="0040764C">
        <w:t>,</w:t>
      </w:r>
    </w:p>
    <w:p w14:paraId="613CE109" w14:textId="6A9BBC18" w:rsidR="000117F2" w:rsidRDefault="000117F2" w:rsidP="00A11A69">
      <w:pPr>
        <w:pStyle w:val="ListParagraph"/>
        <w:numPr>
          <w:ilvl w:val="0"/>
          <w:numId w:val="44"/>
        </w:numPr>
      </w:pPr>
      <w:r>
        <w:t xml:space="preserve">Products produced under HS Code Chapter 48 are now going to have to be identified </w:t>
      </w:r>
      <w:r w:rsidR="00CA7B07">
        <w:t xml:space="preserve">as such </w:t>
      </w:r>
      <w:r>
        <w:t>to printers by the publisher</w:t>
      </w:r>
      <w:r w:rsidR="00D775D6">
        <w:t>, so that that the</w:t>
      </w:r>
      <w:r w:rsidR="00012A62">
        <w:t xml:space="preserve"> printer</w:t>
      </w:r>
      <w:r w:rsidR="00D775D6">
        <w:t xml:space="preserve"> can track the raw data </w:t>
      </w:r>
      <w:r w:rsidR="00580B35">
        <w:t>that goes into each Chapter 48 product, so that they can</w:t>
      </w:r>
      <w:r w:rsidR="00D775D6">
        <w:t xml:space="preserve"> pass it down the supply chain</w:t>
      </w:r>
      <w:r w:rsidR="0040764C">
        <w:t>,</w:t>
      </w:r>
    </w:p>
    <w:p w14:paraId="7745E022" w14:textId="541BE043" w:rsidR="001709AD" w:rsidRDefault="001709AD" w:rsidP="00F9500D">
      <w:pPr>
        <w:pStyle w:val="ListParagraph"/>
        <w:numPr>
          <w:ilvl w:val="0"/>
          <w:numId w:val="44"/>
        </w:numPr>
      </w:pPr>
      <w:r>
        <w:t xml:space="preserve">Products that are produced under </w:t>
      </w:r>
      <w:hyperlink r:id="rId24" w:history="1">
        <w:r w:rsidRPr="002664C3">
          <w:rPr>
            <w:rStyle w:val="Hyperlink"/>
          </w:rPr>
          <w:t>HS Code Chapter 49</w:t>
        </w:r>
      </w:hyperlink>
      <w:r>
        <w:t xml:space="preserve"> – printed matter are now exempt from EUDR. </w:t>
      </w:r>
      <w:r w:rsidR="00926D87">
        <w:t>It has been argued that they are not a commodity but a resource.</w:t>
      </w:r>
      <w:r w:rsidR="005938DE">
        <w:t xml:space="preserve"> </w:t>
      </w:r>
      <w:r w:rsidR="00760D6E" w:rsidRPr="00B2207F">
        <w:t xml:space="preserve">Even so printers are going to have to track this so that they can prove a product </w:t>
      </w:r>
      <w:r w:rsidR="00E93110" w:rsidRPr="00B2207F">
        <w:t xml:space="preserve">is a Chapter 49 one, and </w:t>
      </w:r>
      <w:r w:rsidR="00760D6E" w:rsidRPr="00B2207F">
        <w:t>is</w:t>
      </w:r>
      <w:r w:rsidR="00760D6E">
        <w:t xml:space="preserve"> </w:t>
      </w:r>
      <w:r w:rsidR="00E93110">
        <w:t xml:space="preserve">therefore </w:t>
      </w:r>
      <w:r w:rsidR="00760D6E">
        <w:t>exempt from EUDR</w:t>
      </w:r>
      <w:r w:rsidR="0040764C">
        <w:t>.</w:t>
      </w:r>
    </w:p>
    <w:p w14:paraId="5B563B3C" w14:textId="620A46B7" w:rsidR="0A88F668" w:rsidRPr="004B3464" w:rsidRDefault="0A88F668" w:rsidP="004B3464"/>
    <w:p w14:paraId="07C400E0" w14:textId="73416E2D" w:rsidR="009C1F37" w:rsidRPr="004B3464" w:rsidRDefault="718155FC" w:rsidP="004B3464">
      <w:r w:rsidRPr="004B3464">
        <w:t xml:space="preserve">The T&amp;FWG has </w:t>
      </w:r>
      <w:r w:rsidR="00414632">
        <w:t xml:space="preserve">endeavoured </w:t>
      </w:r>
      <w:r w:rsidRPr="004B3464">
        <w:t>to provide practical solution</w:t>
      </w:r>
      <w:r w:rsidR="0073182D" w:rsidRPr="004B3464">
        <w:t>s</w:t>
      </w:r>
      <w:r w:rsidRPr="004B3464">
        <w:t xml:space="preserve"> to the implementation of EUDR. </w:t>
      </w:r>
      <w:r w:rsidR="00636483" w:rsidRPr="004B3464">
        <w:t>T</w:t>
      </w:r>
      <w:r w:rsidRPr="004B3464">
        <w:t xml:space="preserve">he EUDR regulation says it is the EU customer/importer </w:t>
      </w:r>
      <w:r w:rsidR="00685FA8">
        <w:t xml:space="preserve">of record </w:t>
      </w:r>
      <w:r w:rsidRPr="004B3464">
        <w:t>wh</w:t>
      </w:r>
      <w:r w:rsidR="4CEDBBAF" w:rsidRPr="004B3464">
        <w:t>o is responsible for creating the DDS prior to the product being imported into the EU</w:t>
      </w:r>
      <w:r w:rsidR="5D9DBC5B" w:rsidRPr="004B3464">
        <w:t xml:space="preserve"> and any organisations outside the EU ha</w:t>
      </w:r>
      <w:r w:rsidR="00414632">
        <w:t>ve</w:t>
      </w:r>
      <w:r w:rsidR="5D9DBC5B" w:rsidRPr="004B3464">
        <w:t xml:space="preserve"> no responsibility</w:t>
      </w:r>
      <w:r w:rsidR="1869FA01" w:rsidRPr="004B3464">
        <w:t>. A non-EU organisation need only</w:t>
      </w:r>
      <w:r w:rsidR="5D9DBC5B" w:rsidRPr="004B3464">
        <w:t xml:space="preserve"> pass the relevant geolocation data down the supply chain</w:t>
      </w:r>
      <w:r w:rsidR="4CEDBBAF" w:rsidRPr="004B3464">
        <w:t xml:space="preserve">. </w:t>
      </w:r>
      <w:r w:rsidR="008968E0" w:rsidRPr="0072515D">
        <w:t>However, t</w:t>
      </w:r>
      <w:r w:rsidR="32B8E0B5" w:rsidRPr="0072515D">
        <w:t>his is not always practical</w:t>
      </w:r>
      <w:r w:rsidR="009C1F37" w:rsidRPr="0072515D">
        <w:t xml:space="preserve">, and the premise behind the generation of </w:t>
      </w:r>
      <w:r w:rsidR="007A68C6">
        <w:t xml:space="preserve">BIC’s </w:t>
      </w:r>
      <w:r w:rsidR="007A68C6" w:rsidRPr="0072515D">
        <w:t>revised</w:t>
      </w:r>
      <w:r w:rsidR="008404B1">
        <w:t xml:space="preserve"> </w:t>
      </w:r>
      <w:r w:rsidR="009C1F37" w:rsidRPr="0072515D">
        <w:t xml:space="preserve">maps is that many EU customers are going to want to see a DDS associated with the product before they will </w:t>
      </w:r>
      <w:r w:rsidR="00414632" w:rsidRPr="0072515D">
        <w:t xml:space="preserve">even </w:t>
      </w:r>
      <w:r w:rsidR="009C1F37" w:rsidRPr="0072515D">
        <w:t>place an order, so a DDS needs to have been created by this point.</w:t>
      </w:r>
      <w:r w:rsidR="009C1F37" w:rsidRPr="004B3464">
        <w:t xml:space="preserve"> This has been borne out by the comments and communications that various members of the T&amp;FWG have received during the project</w:t>
      </w:r>
      <w:r w:rsidR="0073182D" w:rsidRPr="004B3464">
        <w:t>.</w:t>
      </w:r>
      <w:r w:rsidR="005C1044">
        <w:t xml:space="preserve"> This assumption has not changed</w:t>
      </w:r>
      <w:r w:rsidR="001709AD">
        <w:t xml:space="preserve"> with the </w:t>
      </w:r>
      <w:r w:rsidR="00237BEF">
        <w:t xml:space="preserve">2026 </w:t>
      </w:r>
      <w:r w:rsidR="001709AD">
        <w:t>simplification to EUDR.</w:t>
      </w:r>
    </w:p>
    <w:p w14:paraId="6D61CE56" w14:textId="77777777" w:rsidR="0073182D" w:rsidRDefault="0073182D" w:rsidP="009C1F37"/>
    <w:p w14:paraId="5A6E9777" w14:textId="2E5DED5C" w:rsidR="718155FC" w:rsidRDefault="70BB8DF3">
      <w:r>
        <w:t>The T&amp;FWG looked a</w:t>
      </w:r>
      <w:r w:rsidR="00414632">
        <w:t xml:space="preserve">t the following scenarios: </w:t>
      </w:r>
      <w:r>
        <w:t xml:space="preserve">product printed in the UK on EU </w:t>
      </w:r>
      <w:r w:rsidR="00DE5894">
        <w:t>components</w:t>
      </w:r>
      <w:r>
        <w:t xml:space="preserve">, the </w:t>
      </w:r>
      <w:r>
        <w:lastRenderedPageBreak/>
        <w:t>printing of product in the Rest of the World (ROW)</w:t>
      </w:r>
      <w:r w:rsidR="383EBA40">
        <w:t xml:space="preserve"> and delivery to two different locations</w:t>
      </w:r>
      <w:r>
        <w:t xml:space="preserve">. </w:t>
      </w:r>
      <w:r w:rsidR="78326200">
        <w:t>These maps are:</w:t>
      </w:r>
    </w:p>
    <w:p w14:paraId="5A62BCB1" w14:textId="706A96F5" w:rsidR="0A88F668" w:rsidRDefault="0A88F668"/>
    <w:p w14:paraId="22EEDC4F" w14:textId="207BADC6" w:rsidR="78326200" w:rsidRDefault="78326200" w:rsidP="0A88F668">
      <w:pPr>
        <w:pStyle w:val="ListParagraph"/>
        <w:numPr>
          <w:ilvl w:val="0"/>
          <w:numId w:val="12"/>
        </w:numPr>
      </w:pPr>
      <w:r w:rsidRPr="0A88F668">
        <w:t>Product printed in the UK on EU</w:t>
      </w:r>
      <w:r w:rsidR="00DE5894">
        <w:t xml:space="preserve"> components</w:t>
      </w:r>
    </w:p>
    <w:p w14:paraId="11C6B1F4" w14:textId="0F6A952D" w:rsidR="78326200" w:rsidRDefault="78326200" w:rsidP="0A88F668">
      <w:pPr>
        <w:pStyle w:val="ListParagraph"/>
        <w:numPr>
          <w:ilvl w:val="0"/>
          <w:numId w:val="12"/>
        </w:numPr>
      </w:pPr>
      <w:r w:rsidRPr="0A88F668">
        <w:t>Product from ROW to the UK</w:t>
      </w:r>
    </w:p>
    <w:p w14:paraId="53388F2C" w14:textId="3DAA5EEA" w:rsidR="78326200" w:rsidRDefault="78326200" w:rsidP="0A88F668">
      <w:pPr>
        <w:pStyle w:val="ListParagraph"/>
        <w:numPr>
          <w:ilvl w:val="0"/>
          <w:numId w:val="12"/>
        </w:numPr>
      </w:pPr>
      <w:r w:rsidRPr="0A88F668">
        <w:t>Product from ROW to EU Customer</w:t>
      </w:r>
    </w:p>
    <w:p w14:paraId="099D3A9B" w14:textId="70C34B54" w:rsidR="0A88F668" w:rsidRDefault="0A88F668"/>
    <w:p w14:paraId="5C619389" w14:textId="2A897567" w:rsidR="5E385D06" w:rsidRDefault="78DB4764" w:rsidP="0A88F668">
      <w:pPr>
        <w:pStyle w:val="Heading2"/>
      </w:pPr>
      <w:bookmarkStart w:id="14" w:name="_Toc237262942"/>
      <w:r>
        <w:t xml:space="preserve">Product printed in the UK on </w:t>
      </w:r>
      <w:r w:rsidRPr="004F3193">
        <w:t xml:space="preserve">EU </w:t>
      </w:r>
      <w:r w:rsidR="00DE5894">
        <w:t>components</w:t>
      </w:r>
      <w:bookmarkEnd w:id="14"/>
    </w:p>
    <w:p w14:paraId="7A31B5F3" w14:textId="30DC8D0F" w:rsidR="0A88F668" w:rsidRDefault="0A88F668"/>
    <w:p w14:paraId="156A3550" w14:textId="1C4391EE" w:rsidR="5E385D06" w:rsidRPr="004B3464" w:rsidRDefault="78DB4764">
      <w:r w:rsidRPr="004B3464">
        <w:t>This map looks at the UK supply chain</w:t>
      </w:r>
      <w:r w:rsidR="51F55F61" w:rsidRPr="004B3464">
        <w:t xml:space="preserve">, in depth, </w:t>
      </w:r>
      <w:r w:rsidRPr="004B3464">
        <w:t xml:space="preserve">with the </w:t>
      </w:r>
      <w:r w:rsidR="00385896" w:rsidRPr="004B3464">
        <w:t xml:space="preserve">proposal being that </w:t>
      </w:r>
      <w:r w:rsidR="009520A9" w:rsidRPr="004B3464">
        <w:t>the</w:t>
      </w:r>
      <w:r w:rsidRPr="004B3464">
        <w:t xml:space="preserve"> printer create</w:t>
      </w:r>
      <w:r w:rsidR="009520A9" w:rsidRPr="004B3464">
        <w:t>s</w:t>
      </w:r>
      <w:r w:rsidRPr="004B3464">
        <w:t xml:space="preserve"> the</w:t>
      </w:r>
      <w:r w:rsidR="00A74607">
        <w:t xml:space="preserve"> Chapter 48</w:t>
      </w:r>
      <w:r w:rsidR="573C5CE6" w:rsidRPr="004B3464">
        <w:t xml:space="preserve"> </w:t>
      </w:r>
      <w:r w:rsidR="00ED29BF">
        <w:t>product</w:t>
      </w:r>
      <w:r w:rsidR="00ED29BF" w:rsidRPr="004B3464">
        <w:t xml:space="preserve"> </w:t>
      </w:r>
      <w:r w:rsidRPr="004B3464">
        <w:t xml:space="preserve">DDS upon </w:t>
      </w:r>
      <w:r w:rsidR="23CCC763" w:rsidRPr="004B3464">
        <w:t xml:space="preserve">completion of </w:t>
      </w:r>
      <w:r w:rsidRPr="004B3464">
        <w:t>production</w:t>
      </w:r>
      <w:r w:rsidR="2D6D0DD0" w:rsidRPr="004B3464">
        <w:t xml:space="preserve"> proces</w:t>
      </w:r>
      <w:r w:rsidR="002218D0" w:rsidRPr="004B3464">
        <w:t>s; t</w:t>
      </w:r>
      <w:r w:rsidR="2D6D0DD0" w:rsidRPr="004B3464">
        <w:t xml:space="preserve">his is the only time a printer could create the </w:t>
      </w:r>
      <w:r w:rsidR="00ED29BF">
        <w:t>product</w:t>
      </w:r>
      <w:r w:rsidR="00ED29BF" w:rsidRPr="004B3464">
        <w:t xml:space="preserve"> </w:t>
      </w:r>
      <w:r w:rsidR="2D6D0DD0" w:rsidRPr="004B3464">
        <w:t>DDS</w:t>
      </w:r>
      <w:r w:rsidR="00FC6B3F">
        <w:t xml:space="preserve">. Although now with the simplification to EUDR </w:t>
      </w:r>
      <w:r w:rsidR="00C82856">
        <w:t>printers</w:t>
      </w:r>
      <w:r w:rsidR="00FC6B3F">
        <w:t xml:space="preserve"> are more likely to</w:t>
      </w:r>
      <w:r w:rsidR="460FCF29" w:rsidRPr="004B3464">
        <w:t xml:space="preserve"> pass on the geolocation data</w:t>
      </w:r>
      <w:r w:rsidR="2D6D0DD0" w:rsidRPr="004B3464">
        <w:t xml:space="preserve"> as it is only then they will know all the papers and corresponding paper DDSs that have gone into the making </w:t>
      </w:r>
      <w:r w:rsidR="000B4D40">
        <w:t xml:space="preserve">of </w:t>
      </w:r>
      <w:r w:rsidR="2D6D0DD0" w:rsidRPr="004B3464">
        <w:t>the product</w:t>
      </w:r>
      <w:r w:rsidRPr="004B3464">
        <w:t>.</w:t>
      </w:r>
      <w:r w:rsidR="19869F31" w:rsidRPr="004B3464">
        <w:t xml:space="preserve"> </w:t>
      </w:r>
      <w:r w:rsidR="002218D0" w:rsidRPr="004B3464">
        <w:t>It should be noted that p</w:t>
      </w:r>
      <w:r w:rsidR="36A69DCE" w:rsidRPr="004B3464">
        <w:t>rinters are not obliged to create DDSs, so they may just pass the</w:t>
      </w:r>
      <w:r w:rsidR="00294A14">
        <w:t xml:space="preserve"> geolocation</w:t>
      </w:r>
      <w:r w:rsidR="36A69DCE" w:rsidRPr="004B3464">
        <w:t xml:space="preserve"> data down the supply chain.</w:t>
      </w:r>
      <w:r w:rsidR="19869F31" w:rsidRPr="004B3464">
        <w:t xml:space="preserve"> </w:t>
      </w:r>
      <w:r w:rsidR="00217888">
        <w:t>BIC recommends that t</w:t>
      </w:r>
      <w:r w:rsidR="4ECBCFA0" w:rsidRPr="004B3464">
        <w:t>he reader discuss</w:t>
      </w:r>
      <w:r w:rsidR="00217888">
        <w:t>es</w:t>
      </w:r>
      <w:r w:rsidR="4ECBCFA0" w:rsidRPr="004B3464">
        <w:t xml:space="preserve"> with their suppliers </w:t>
      </w:r>
      <w:r w:rsidR="00217888">
        <w:t xml:space="preserve">ASAP </w:t>
      </w:r>
      <w:r w:rsidR="4ECBCFA0" w:rsidRPr="004B3464">
        <w:t>about what approach they are going to take.</w:t>
      </w:r>
    </w:p>
    <w:p w14:paraId="0F7BE82F" w14:textId="0B7FA49B" w:rsidR="0A88F668" w:rsidRPr="004B3464" w:rsidRDefault="0A88F668"/>
    <w:p w14:paraId="6BD15B99" w14:textId="36DEAD33" w:rsidR="006D37CE" w:rsidRPr="004B3464" w:rsidRDefault="5D7FE8AA" w:rsidP="006D37CE">
      <w:r w:rsidRPr="004B3464">
        <w:t>Whatever data is passed on from the printer</w:t>
      </w:r>
      <w:r w:rsidR="4F11139C" w:rsidRPr="004B3464">
        <w:t xml:space="preserve"> it can be</w:t>
      </w:r>
      <w:r w:rsidRPr="004B3464">
        <w:t xml:space="preserve"> sent to both the publisher and distributor. Some publishers and distributors expect that they might have to create </w:t>
      </w:r>
      <w:r w:rsidR="3171BA91" w:rsidRPr="004B3464">
        <w:t xml:space="preserve">a DDS for their products </w:t>
      </w:r>
      <w:r w:rsidR="00AC6538" w:rsidRPr="004B3464">
        <w:t xml:space="preserve">(if one does not exist already) </w:t>
      </w:r>
      <w:r w:rsidR="3171BA91" w:rsidRPr="004B3464">
        <w:t xml:space="preserve">so it can be fed out in the metadata, such as in their ONIX feeds. </w:t>
      </w:r>
      <w:r w:rsidR="0CC9AA12" w:rsidRPr="004B3464">
        <w:t xml:space="preserve">For an explanation on how </w:t>
      </w:r>
      <w:hyperlink r:id="rId25" w:history="1">
        <w:r w:rsidR="0CC9AA12" w:rsidRPr="003410C8">
          <w:rPr>
            <w:rStyle w:val="Hyperlink"/>
          </w:rPr>
          <w:t xml:space="preserve">ONIX </w:t>
        </w:r>
        <w:r w:rsidR="00373914">
          <w:rPr>
            <w:rStyle w:val="Hyperlink"/>
          </w:rPr>
          <w:t>has been adapted to cover</w:t>
        </w:r>
        <w:r w:rsidR="0CC9AA12" w:rsidRPr="003410C8">
          <w:rPr>
            <w:rStyle w:val="Hyperlink"/>
          </w:rPr>
          <w:t xml:space="preserve"> EUDR</w:t>
        </w:r>
      </w:hyperlink>
      <w:r w:rsidR="009E0BDC">
        <w:t>,</w:t>
      </w:r>
      <w:r w:rsidR="00FA1C68">
        <w:t xml:space="preserve"> the </w:t>
      </w:r>
      <w:hyperlink r:id="rId26" w:history="1">
        <w:r w:rsidR="00FA1C68" w:rsidRPr="00B92726">
          <w:rPr>
            <w:rStyle w:val="Hyperlink"/>
          </w:rPr>
          <w:t>ONI</w:t>
        </w:r>
        <w:r w:rsidR="009E0BDC" w:rsidRPr="00B92726">
          <w:rPr>
            <w:rStyle w:val="Hyperlink"/>
          </w:rPr>
          <w:t xml:space="preserve">X application </w:t>
        </w:r>
        <w:r w:rsidR="00B92726" w:rsidRPr="00B92726">
          <w:rPr>
            <w:rStyle w:val="Hyperlink"/>
          </w:rPr>
          <w:t>note</w:t>
        </w:r>
      </w:hyperlink>
      <w:r w:rsidR="009E0BDC">
        <w:t xml:space="preserve"> and </w:t>
      </w:r>
      <w:hyperlink r:id="rId27" w:anchor="BestPractices" w:history="1">
        <w:r w:rsidR="00E70C2E" w:rsidRPr="00C4677E">
          <w:rPr>
            <w:rStyle w:val="Hyperlink"/>
          </w:rPr>
          <w:t>ONIX Implementation and Best Practice Guide</w:t>
        </w:r>
      </w:hyperlink>
      <w:r w:rsidR="0CC9AA12" w:rsidRPr="004B3464">
        <w:t xml:space="preserve">. </w:t>
      </w:r>
      <w:r w:rsidR="3171BA91" w:rsidRPr="004B3464">
        <w:t xml:space="preserve">It should be noted that not all organisations use ONIX. </w:t>
      </w:r>
      <w:r w:rsidR="601CED63" w:rsidRPr="004B3464">
        <w:t xml:space="preserve">Other distributors say they are not going to be creating any DDSs but </w:t>
      </w:r>
      <w:r w:rsidR="00F6010E">
        <w:t xml:space="preserve">that they will </w:t>
      </w:r>
      <w:r w:rsidR="601CED63" w:rsidRPr="004B3464">
        <w:t>need them in</w:t>
      </w:r>
      <w:r w:rsidR="00F6010E">
        <w:t>cluded</w:t>
      </w:r>
      <w:r w:rsidR="601CED63" w:rsidRPr="004B3464">
        <w:t xml:space="preserve"> the </w:t>
      </w:r>
      <w:r w:rsidR="001A166F">
        <w:t xml:space="preserve">inbound </w:t>
      </w:r>
      <w:r w:rsidR="601CED63" w:rsidRPr="004B3464">
        <w:t>data feeds</w:t>
      </w:r>
      <w:r w:rsidR="00F6010E">
        <w:t>.</w:t>
      </w:r>
      <w:r w:rsidR="009F6036">
        <w:t xml:space="preserve"> </w:t>
      </w:r>
      <w:r w:rsidR="0044156D">
        <w:t xml:space="preserve">There is also a concern in the supply chain that the volume of data that needs to be passed down it for </w:t>
      </w:r>
      <w:r w:rsidR="00A11BFC">
        <w:t xml:space="preserve">a DDS to be created at the point the goods are placed on the EU market is too large </w:t>
      </w:r>
      <w:r w:rsidR="00971695">
        <w:t>for organisat</w:t>
      </w:r>
      <w:r w:rsidR="002A69C3">
        <w:t>i</w:t>
      </w:r>
      <w:r w:rsidR="00971695">
        <w:t>ons to handle.</w:t>
      </w:r>
      <w:r w:rsidR="00F6010E">
        <w:t xml:space="preserve"> </w:t>
      </w:r>
      <w:r w:rsidR="00971695">
        <w:t>This could mean i</w:t>
      </w:r>
      <w:r w:rsidR="00F6010E">
        <w:t xml:space="preserve">f </w:t>
      </w:r>
      <w:r w:rsidR="00971695">
        <w:t>a DDS is</w:t>
      </w:r>
      <w:r w:rsidR="00F6010E">
        <w:t xml:space="preserve"> not included</w:t>
      </w:r>
      <w:r w:rsidR="601CED63" w:rsidRPr="004B3464">
        <w:t xml:space="preserve"> </w:t>
      </w:r>
      <w:r w:rsidR="00134555">
        <w:t xml:space="preserve">in the </w:t>
      </w:r>
      <w:r w:rsidR="601CED63" w:rsidRPr="004B3464">
        <w:t xml:space="preserve">product </w:t>
      </w:r>
      <w:r w:rsidR="00134555">
        <w:t xml:space="preserve">metadata it </w:t>
      </w:r>
      <w:r w:rsidR="601CED63" w:rsidRPr="004B3464">
        <w:t xml:space="preserve">will be market restricted </w:t>
      </w:r>
      <w:r w:rsidR="5A91CAAC" w:rsidRPr="004B3464">
        <w:t>a</w:t>
      </w:r>
      <w:r w:rsidR="00C07747" w:rsidRPr="004B3464">
        <w:t>s</w:t>
      </w:r>
      <w:r w:rsidR="5A91CAAC" w:rsidRPr="004B3464">
        <w:t xml:space="preserve"> not</w:t>
      </w:r>
      <w:r w:rsidR="0CFD4C53" w:rsidRPr="004B3464">
        <w:t xml:space="preserve"> </w:t>
      </w:r>
      <w:r w:rsidR="00F6010E">
        <w:t xml:space="preserve">for </w:t>
      </w:r>
      <w:r w:rsidR="601CED63" w:rsidRPr="004B3464">
        <w:t xml:space="preserve">sale in the EU and therefore not </w:t>
      </w:r>
      <w:r w:rsidR="4FFD52B5" w:rsidRPr="004B3464">
        <w:t>available</w:t>
      </w:r>
      <w:r w:rsidR="601CED63" w:rsidRPr="004B3464">
        <w:t xml:space="preserve"> there.</w:t>
      </w:r>
      <w:r w:rsidR="6D0A94FC" w:rsidRPr="004B3464">
        <w:t xml:space="preserve"> </w:t>
      </w:r>
      <w:r w:rsidR="0025539E">
        <w:t>The UK Government has decided that</w:t>
      </w:r>
      <w:r w:rsidR="4394B8FA" w:rsidRPr="004B3464">
        <w:t>, Northern Ireland</w:t>
      </w:r>
      <w:r w:rsidR="0025539E">
        <w:t xml:space="preserve"> under the Windsor agreement is part of the EU for </w:t>
      </w:r>
      <w:r w:rsidR="00D72115">
        <w:t xml:space="preserve">the </w:t>
      </w:r>
      <w:r w:rsidR="4394B8FA" w:rsidRPr="004B3464">
        <w:t>EUDR.</w:t>
      </w:r>
      <w:r w:rsidR="006D37CE" w:rsidRPr="004B3464">
        <w:t xml:space="preserve"> </w:t>
      </w:r>
      <w:r w:rsidR="00D72115">
        <w:t xml:space="preserve">The Northern Irish </w:t>
      </w:r>
      <w:r w:rsidR="00FC6EAA">
        <w:t xml:space="preserve">Competent Authority for wood </w:t>
      </w:r>
      <w:r w:rsidR="004E59D3">
        <w:t xml:space="preserve">products </w:t>
      </w:r>
      <w:r w:rsidR="00FC6EAA">
        <w:t xml:space="preserve">and rubber </w:t>
      </w:r>
      <w:r w:rsidR="004E59D3">
        <w:t xml:space="preserve">is The Office </w:t>
      </w:r>
      <w:r w:rsidR="00AB6143">
        <w:t>for Product Safety and Standards (OPSS).</w:t>
      </w:r>
    </w:p>
    <w:p w14:paraId="7CD60C64" w14:textId="18304DD7" w:rsidR="0A88F668" w:rsidRDefault="0A88F668"/>
    <w:p w14:paraId="67F33A59" w14:textId="4248D7EB" w:rsidR="10C8C5C1" w:rsidRPr="004B3464" w:rsidRDefault="00606F40">
      <w:r w:rsidRPr="004B3464">
        <w:t xml:space="preserve">It is generally understood that if a printer, </w:t>
      </w:r>
      <w:r w:rsidR="00E87EBD" w:rsidRPr="004B3464">
        <w:t>publisher,</w:t>
      </w:r>
      <w:r w:rsidRPr="004B3464">
        <w:t xml:space="preserve"> or distributor creates a DDS</w:t>
      </w:r>
      <w:r w:rsidR="00FB0B67">
        <w:t>, as a Non-EU Operator</w:t>
      </w:r>
      <w:r w:rsidRPr="004B3464">
        <w:t xml:space="preserve"> for a </w:t>
      </w:r>
      <w:r w:rsidR="00FB0B67">
        <w:t>product</w:t>
      </w:r>
      <w:r w:rsidRPr="004B3464">
        <w:t xml:space="preserve">, then that DDS reference can be safely used for the customs declarations for entry into the EU. </w:t>
      </w:r>
      <w:r w:rsidR="007D1A2B" w:rsidRPr="004B3464">
        <w:t xml:space="preserve">Whoever is importing the </w:t>
      </w:r>
      <w:r w:rsidR="002D25FD">
        <w:t xml:space="preserve">product </w:t>
      </w:r>
      <w:r w:rsidR="007D1A2B" w:rsidRPr="004B3464">
        <w:t xml:space="preserve">into the EU (the seller, when on </w:t>
      </w:r>
      <w:r w:rsidR="007D1A2B" w:rsidRPr="004B3464">
        <w:rPr>
          <w:b/>
          <w:bCs/>
        </w:rPr>
        <w:t>DDP</w:t>
      </w:r>
      <w:r w:rsidR="007D1A2B" w:rsidRPr="004B3464">
        <w:t xml:space="preserve"> Delivery Duty Paid terms, the buyer, when on </w:t>
      </w:r>
      <w:r w:rsidR="007D1A2B" w:rsidRPr="004B3464">
        <w:rPr>
          <w:b/>
          <w:bCs/>
        </w:rPr>
        <w:t>DAP</w:t>
      </w:r>
      <w:r w:rsidR="007D1A2B" w:rsidRPr="004B3464">
        <w:t xml:space="preserve"> Delivery </w:t>
      </w:r>
      <w:proofErr w:type="gramStart"/>
      <w:r w:rsidR="007D1A2B" w:rsidRPr="004B3464">
        <w:t>At</w:t>
      </w:r>
      <w:proofErr w:type="gramEnd"/>
      <w:r w:rsidR="007D1A2B" w:rsidRPr="004B3464">
        <w:t xml:space="preserve"> Place terms)</w:t>
      </w:r>
      <w:r w:rsidR="00CF080E" w:rsidRPr="004B3464">
        <w:t xml:space="preserve"> will need to create a DDS in EU Traces to cover the importing, but so long as that DDS incorporates all the </w:t>
      </w:r>
      <w:r w:rsidR="00FB0B67">
        <w:t xml:space="preserve">data </w:t>
      </w:r>
      <w:r w:rsidR="00CF080E" w:rsidRPr="004B3464">
        <w:t>used for</w:t>
      </w:r>
      <w:r w:rsidR="00442BB5">
        <w:t xml:space="preserve"> multiple products</w:t>
      </w:r>
      <w:r w:rsidR="00CF080E" w:rsidRPr="004B3464">
        <w:t xml:space="preserve"> shipping into the EU</w:t>
      </w:r>
      <w:r w:rsidR="00442BB5">
        <w:t xml:space="preserve"> as one consignment</w:t>
      </w:r>
      <w:r w:rsidR="00CF080E" w:rsidRPr="004B3464">
        <w:t>,</w:t>
      </w:r>
      <w:r w:rsidR="00B12859" w:rsidRPr="004B3464">
        <w:t xml:space="preserve"> then this will satisfy EU authorities. </w:t>
      </w:r>
      <w:r w:rsidR="10C8C5C1" w:rsidRPr="004B3464">
        <w:t xml:space="preserve">If no organisation in the UK creates a DDS for the product </w:t>
      </w:r>
      <w:r w:rsidR="0D5EDDC3" w:rsidRPr="004B3464">
        <w:t>the</w:t>
      </w:r>
      <w:r w:rsidR="00442BB5">
        <w:t xml:space="preserve"> geolocation</w:t>
      </w:r>
      <w:r w:rsidR="0D5EDDC3" w:rsidRPr="004B3464">
        <w:t xml:space="preserve"> data </w:t>
      </w:r>
      <w:r w:rsidR="10C8C5C1" w:rsidRPr="004B3464">
        <w:t xml:space="preserve">will still be available to send to the customer </w:t>
      </w:r>
      <w:r w:rsidR="00BF6B9E">
        <w:t xml:space="preserve">(EU Operator) </w:t>
      </w:r>
      <w:r w:rsidR="10C8C5C1" w:rsidRPr="004B3464">
        <w:t xml:space="preserve">for them to create </w:t>
      </w:r>
      <w:r w:rsidR="002E629D">
        <w:t>a DDS</w:t>
      </w:r>
      <w:r w:rsidR="008C99DD" w:rsidRPr="004B3464">
        <w:t xml:space="preserve"> and import the product to the EU</w:t>
      </w:r>
      <w:r w:rsidR="00B12859" w:rsidRPr="004B3464">
        <w:t>, but then this</w:t>
      </w:r>
      <w:r w:rsidR="002E629D">
        <w:t xml:space="preserve"> customer</w:t>
      </w:r>
      <w:r w:rsidR="00CD729D">
        <w:t>-</w:t>
      </w:r>
      <w:r w:rsidR="002E629D">
        <w:t>created DDS</w:t>
      </w:r>
      <w:r w:rsidR="00B12859" w:rsidRPr="004B3464">
        <w:t xml:space="preserve"> may need to be supplied back to the publisher/distributor/shipper for incorporation into the shipping documentation.</w:t>
      </w:r>
    </w:p>
    <w:p w14:paraId="66FB1996" w14:textId="403EE40C" w:rsidR="0A88F668" w:rsidRDefault="0A88F668"/>
    <w:p w14:paraId="774EB4AB" w14:textId="289DA953" w:rsidR="5546FB18" w:rsidRDefault="17F73D3F" w:rsidP="0A88F668">
      <w:pPr>
        <w:pStyle w:val="Heading2"/>
      </w:pPr>
      <w:bookmarkStart w:id="15" w:name="_Toc237262943"/>
      <w:r>
        <w:t>Product from ROW to the UK</w:t>
      </w:r>
      <w:bookmarkEnd w:id="15"/>
    </w:p>
    <w:p w14:paraId="4C9134E7" w14:textId="5DA73AA4" w:rsidR="0A88F668" w:rsidRDefault="0A88F668" w:rsidP="0A88F668"/>
    <w:p w14:paraId="28C6483B" w14:textId="2EDE7439" w:rsidR="38C076A1" w:rsidRPr="004B3464" w:rsidRDefault="53199E0E" w:rsidP="0A88F668">
      <w:pPr>
        <w:spacing w:line="259" w:lineRule="auto"/>
      </w:pPr>
      <w:r w:rsidRPr="004B3464">
        <w:t>This map looks at product being printed in the ROW</w:t>
      </w:r>
      <w:r w:rsidR="004139BD">
        <w:t xml:space="preserve"> (</w:t>
      </w:r>
      <w:r w:rsidRPr="004B3464">
        <w:t xml:space="preserve">which could include </w:t>
      </w:r>
      <w:r w:rsidR="00516573">
        <w:t>paper made in the</w:t>
      </w:r>
      <w:r w:rsidRPr="004B3464">
        <w:t xml:space="preserve"> UK</w:t>
      </w:r>
      <w:r w:rsidR="004139BD">
        <w:t>)</w:t>
      </w:r>
      <w:r w:rsidRPr="004B3464">
        <w:t xml:space="preserve">, if non-EU paper is used. </w:t>
      </w:r>
      <w:r w:rsidR="00CB76B9" w:rsidRPr="004B3464">
        <w:t xml:space="preserve">Though some suppliers who use EU paper may be able to supply </w:t>
      </w:r>
      <w:r w:rsidR="004B3464" w:rsidRPr="004B3464">
        <w:t>DDSs</w:t>
      </w:r>
      <w:r w:rsidR="00CB76B9" w:rsidRPr="004B3464">
        <w:t xml:space="preserve"> with the </w:t>
      </w:r>
      <w:r w:rsidR="00985BC7">
        <w:t>product</w:t>
      </w:r>
      <w:r w:rsidR="00985BC7" w:rsidRPr="004B3464">
        <w:t>s</w:t>
      </w:r>
      <w:r w:rsidR="00CB76B9" w:rsidRPr="004B3464">
        <w:t>, in most cases the data</w:t>
      </w:r>
      <w:r w:rsidR="3A7074C7" w:rsidRPr="004B3464">
        <w:t xml:space="preserve"> we would expect to see </w:t>
      </w:r>
      <w:r w:rsidR="005513D3">
        <w:t>would be:</w:t>
      </w:r>
      <w:r w:rsidR="3A7074C7" w:rsidRPr="004B3464">
        <w:t xml:space="preserve"> </w:t>
      </w:r>
      <w:proofErr w:type="spellStart"/>
      <w:r w:rsidR="3A7074C7" w:rsidRPr="004B3464">
        <w:t>GeoJSON</w:t>
      </w:r>
      <w:proofErr w:type="spellEnd"/>
      <w:r w:rsidR="3A7074C7" w:rsidRPr="004B3464">
        <w:t xml:space="preserve"> f</w:t>
      </w:r>
      <w:r w:rsidR="5F225691" w:rsidRPr="004B3464">
        <w:t>i</w:t>
      </w:r>
      <w:r w:rsidR="3A7074C7" w:rsidRPr="004B3464">
        <w:t>les</w:t>
      </w:r>
      <w:r w:rsidR="00985BC7">
        <w:t>, post codes</w:t>
      </w:r>
      <w:r w:rsidR="3A7074C7" w:rsidRPr="004B3464">
        <w:t xml:space="preserve"> and </w:t>
      </w:r>
      <w:r w:rsidR="00985BC7">
        <w:t xml:space="preserve">tree </w:t>
      </w:r>
      <w:r w:rsidR="3A7074C7" w:rsidRPr="004B3464">
        <w:t xml:space="preserve">species data. </w:t>
      </w:r>
      <w:r w:rsidR="311666BE" w:rsidRPr="004B3464">
        <w:t>How this data will be handled will depend upon what</w:t>
      </w:r>
      <w:r w:rsidR="2305B155" w:rsidRPr="004B3464">
        <w:t xml:space="preserve"> the</w:t>
      </w:r>
      <w:r w:rsidR="311666BE" w:rsidRPr="004B3464">
        <w:t xml:space="preserve"> </w:t>
      </w:r>
      <w:r w:rsidR="4126A6F7" w:rsidRPr="004B3464">
        <w:t>organisation</w:t>
      </w:r>
      <w:r w:rsidR="331DD838" w:rsidRPr="004B3464">
        <w:t>’</w:t>
      </w:r>
      <w:r w:rsidR="4126A6F7" w:rsidRPr="004B3464">
        <w:t>s</w:t>
      </w:r>
      <w:r w:rsidR="311666BE" w:rsidRPr="004B3464">
        <w:t xml:space="preserve"> supply chain has decided to do. </w:t>
      </w:r>
      <w:r w:rsidR="741C0FE1" w:rsidRPr="004B3464">
        <w:t>This map shows the supply of both the data and product to a UK warehouse or distributor.</w:t>
      </w:r>
    </w:p>
    <w:p w14:paraId="1406C8AF" w14:textId="5CB490A3" w:rsidR="0A88F668" w:rsidRPr="004B3464" w:rsidRDefault="0A88F668" w:rsidP="0A88F668"/>
    <w:p w14:paraId="1881D83B" w14:textId="08347C2C" w:rsidR="213FF8F3" w:rsidRDefault="213FF8F3" w:rsidP="0A88F668">
      <w:r>
        <w:t xml:space="preserve">The map ends with a box showing product arriving at a UK distributor/warehouse. At that point the reader could revert to the latter </w:t>
      </w:r>
      <w:r w:rsidR="29C5C617">
        <w:t xml:space="preserve">stages of the </w:t>
      </w:r>
      <w:r w:rsidR="29C5C617" w:rsidRPr="0A88F668">
        <w:rPr>
          <w:b/>
          <w:bCs/>
        </w:rPr>
        <w:t xml:space="preserve">Product printed in the UK on EU </w:t>
      </w:r>
      <w:r w:rsidR="00FD2703">
        <w:rPr>
          <w:b/>
          <w:bCs/>
        </w:rPr>
        <w:t>components</w:t>
      </w:r>
      <w:r w:rsidR="00FD2703">
        <w:t xml:space="preserve"> </w:t>
      </w:r>
      <w:r w:rsidR="29C5C617">
        <w:t xml:space="preserve">map for a </w:t>
      </w:r>
      <w:r w:rsidR="29C5C617">
        <w:lastRenderedPageBreak/>
        <w:t xml:space="preserve">detailed view of </w:t>
      </w:r>
      <w:r w:rsidR="51DB1DF4">
        <w:t>the available options</w:t>
      </w:r>
      <w:r w:rsidR="112DD484">
        <w:t>.</w:t>
      </w:r>
    </w:p>
    <w:p w14:paraId="11D351D2" w14:textId="6FB3D5A2" w:rsidR="0A88F668" w:rsidRDefault="0A88F668" w:rsidP="0A88F668">
      <w:pPr>
        <w:pStyle w:val="Heading2"/>
      </w:pPr>
    </w:p>
    <w:p w14:paraId="38B37204" w14:textId="2694B85E" w:rsidR="746DBEE9" w:rsidRDefault="0E8D586D" w:rsidP="0A88F668">
      <w:pPr>
        <w:pStyle w:val="Heading2"/>
      </w:pPr>
      <w:bookmarkStart w:id="16" w:name="_Toc237262944"/>
      <w:r>
        <w:t>Product from ROW to EU Customer</w:t>
      </w:r>
      <w:bookmarkEnd w:id="16"/>
    </w:p>
    <w:p w14:paraId="1F9A0BC0" w14:textId="641FA1E0" w:rsidR="0A88F668" w:rsidRDefault="0A88F668" w:rsidP="0A88F668"/>
    <w:p w14:paraId="6A734470" w14:textId="159CE875" w:rsidR="30987049" w:rsidRDefault="438C30B5" w:rsidP="0A88F668">
      <w:r>
        <w:t xml:space="preserve">This </w:t>
      </w:r>
      <w:r w:rsidR="0E8D586D">
        <w:t xml:space="preserve">map details a route </w:t>
      </w:r>
      <w:r w:rsidR="09FB50D0">
        <w:t>with</w:t>
      </w:r>
      <w:r w:rsidR="0E8D586D">
        <w:t xml:space="preserve"> all the raw data</w:t>
      </w:r>
      <w:r w:rsidR="00D840CC">
        <w:t xml:space="preserve"> being</w:t>
      </w:r>
      <w:r w:rsidR="0E8D586D">
        <w:t xml:space="preserve"> passed to the customer in the EU</w:t>
      </w:r>
      <w:r w:rsidR="399856D8">
        <w:t>. T</w:t>
      </w:r>
      <w:r w:rsidR="2D1A6EF9">
        <w:t xml:space="preserve">he EU </w:t>
      </w:r>
      <w:r w:rsidR="00C14828">
        <w:t xml:space="preserve">Operator </w:t>
      </w:r>
      <w:r w:rsidR="2D1A6EF9">
        <w:t xml:space="preserve">would then create the DDS in the EU Traces system. The EU </w:t>
      </w:r>
      <w:r w:rsidR="00C14828">
        <w:t xml:space="preserve">Operator </w:t>
      </w:r>
      <w:r w:rsidR="2D1A6EF9">
        <w:t xml:space="preserve">would then pass the DDS information back </w:t>
      </w:r>
      <w:r w:rsidR="3B5AE18E">
        <w:t xml:space="preserve">up the supply chain so that the printer </w:t>
      </w:r>
      <w:r w:rsidR="1E273875">
        <w:t xml:space="preserve">or publisher, depending upon how the supply chain works, </w:t>
      </w:r>
      <w:r w:rsidR="3B5AE18E">
        <w:t>can provide all the correct data for the shipper to ship the product directly to the EU.</w:t>
      </w:r>
      <w:r w:rsidR="64B20C49">
        <w:t xml:space="preserve"> This map shows the </w:t>
      </w:r>
      <w:r w:rsidR="64B20C49" w:rsidRPr="001E5AEC">
        <w:t>supply of</w:t>
      </w:r>
      <w:r w:rsidR="64B20C49">
        <w:t xml:space="preserve"> both the data and product to the EU customer.</w:t>
      </w:r>
    </w:p>
    <w:p w14:paraId="533296B7" w14:textId="21D63A43" w:rsidR="0A88F668" w:rsidRDefault="0A88F668" w:rsidP="0A88F668"/>
    <w:p w14:paraId="4BE826E8" w14:textId="10B23E35" w:rsidR="5C0BA47D" w:rsidRPr="007E1150" w:rsidRDefault="30185A66" w:rsidP="0A88F668">
      <w:pPr>
        <w:pStyle w:val="Heading2"/>
      </w:pPr>
      <w:bookmarkStart w:id="17" w:name="_Toc237262945"/>
      <w:r w:rsidRPr="007E1150">
        <w:t>POD Dat</w:t>
      </w:r>
      <w:r w:rsidR="5EE65C4D" w:rsidRPr="007E1150">
        <w:t xml:space="preserve">a </w:t>
      </w:r>
      <w:r w:rsidRPr="007E1150">
        <w:t>route of supply</w:t>
      </w:r>
      <w:bookmarkEnd w:id="17"/>
    </w:p>
    <w:p w14:paraId="57C0841C" w14:textId="7A010BAC" w:rsidR="0A88F668" w:rsidRPr="007E1150" w:rsidRDefault="0A88F668" w:rsidP="0A88F668"/>
    <w:p w14:paraId="3B6E38C0" w14:textId="51351D1E" w:rsidR="1B5B48CA" w:rsidRPr="007E1150" w:rsidRDefault="003C479C" w:rsidP="0A88F668">
      <w:r w:rsidRPr="007E1150">
        <w:t xml:space="preserve">As </w:t>
      </w:r>
      <w:r w:rsidR="000D449F" w:rsidRPr="007E1150">
        <w:t xml:space="preserve">it is only </w:t>
      </w:r>
      <w:r w:rsidRPr="007E1150">
        <w:t xml:space="preserve">product that falls under HS Code Chapter </w:t>
      </w:r>
      <w:r w:rsidR="00395631" w:rsidRPr="007E1150">
        <w:t xml:space="preserve">47 and Chapter 48 </w:t>
      </w:r>
      <w:r w:rsidR="000D449F" w:rsidRPr="007E1150">
        <w:t xml:space="preserve">that </w:t>
      </w:r>
      <w:r w:rsidR="00395631" w:rsidRPr="007E1150">
        <w:t xml:space="preserve">has to comply with EUDR the T&amp;FWG believes that </w:t>
      </w:r>
      <w:r w:rsidR="00155075" w:rsidRPr="007E1150">
        <w:t xml:space="preserve">this product </w:t>
      </w:r>
      <w:r w:rsidR="000D449F" w:rsidRPr="007E1150">
        <w:t>would</w:t>
      </w:r>
      <w:r w:rsidR="00155075" w:rsidRPr="007E1150">
        <w:t xml:space="preserve"> not </w:t>
      </w:r>
      <w:r w:rsidR="000D449F" w:rsidRPr="007E1150">
        <w:t xml:space="preserve">be </w:t>
      </w:r>
      <w:r w:rsidR="00155075" w:rsidRPr="007E1150">
        <w:t xml:space="preserve">produced on a POD basis and therefore </w:t>
      </w:r>
      <w:r w:rsidR="000347A2" w:rsidRPr="007E1150">
        <w:t>this map is not required.</w:t>
      </w:r>
    </w:p>
    <w:p w14:paraId="1DC2524B" w14:textId="77777777" w:rsidR="000347A2" w:rsidRPr="007E1150" w:rsidRDefault="000347A2" w:rsidP="0A88F668"/>
    <w:p w14:paraId="347BE583" w14:textId="54386037" w:rsidR="000347A2" w:rsidRPr="007E1150" w:rsidRDefault="000347A2" w:rsidP="0A88F668">
      <w:r w:rsidRPr="007E1150">
        <w:t xml:space="preserve">If personalised product was produced on a POD </w:t>
      </w:r>
      <w:r w:rsidR="00991D9C" w:rsidRPr="007E1150">
        <w:t>basis,</w:t>
      </w:r>
      <w:r w:rsidRPr="007E1150">
        <w:t xml:space="preserve"> then as it is personalised it would fall under a B2C transaction and that is not covered by EDUR.</w:t>
      </w:r>
    </w:p>
    <w:p w14:paraId="7B1DFBF4" w14:textId="77777777" w:rsidR="000347A2" w:rsidRPr="007E1150" w:rsidRDefault="000347A2" w:rsidP="0A88F668"/>
    <w:p w14:paraId="653192B5" w14:textId="5F630753" w:rsidR="0A88F668" w:rsidRDefault="0A88F668" w:rsidP="0A88F668"/>
    <w:p w14:paraId="4872F7E1" w14:textId="2CB8ED41" w:rsidR="0A88F668" w:rsidRDefault="0A88F668" w:rsidP="0A88F668"/>
    <w:p w14:paraId="0EDDA547" w14:textId="24F03F0F" w:rsidR="0A88F668" w:rsidRDefault="0A88F668" w:rsidP="0A88F668"/>
    <w:p w14:paraId="5461DC2A" w14:textId="6EFDAC16" w:rsidR="0A88F668" w:rsidRDefault="0A88F668">
      <w:r>
        <w:br w:type="page"/>
      </w:r>
    </w:p>
    <w:p w14:paraId="77B7A86B" w14:textId="18496281" w:rsidR="00E14F13" w:rsidRDefault="2237E80C" w:rsidP="00E14F13">
      <w:pPr>
        <w:pStyle w:val="Heading1"/>
      </w:pPr>
      <w:bookmarkStart w:id="18" w:name="_Toc237262946"/>
      <w:r>
        <w:lastRenderedPageBreak/>
        <w:t>Information on what EU</w:t>
      </w:r>
      <w:r w:rsidR="1CF8E32A">
        <w:t>D</w:t>
      </w:r>
      <w:r>
        <w:t>R data Chinese mills can provide</w:t>
      </w:r>
      <w:r w:rsidR="00DC1BB9">
        <w:rPr>
          <w:rStyle w:val="FootnoteReference"/>
        </w:rPr>
        <w:footnoteReference w:id="2"/>
      </w:r>
      <w:bookmarkEnd w:id="18"/>
    </w:p>
    <w:p w14:paraId="238C2D8B" w14:textId="77777777" w:rsidR="00E14F13" w:rsidRDefault="00E14F13" w:rsidP="00E14F13"/>
    <w:p w14:paraId="21CD969C" w14:textId="2F578E52" w:rsidR="001A3D62" w:rsidRPr="004B3464" w:rsidRDefault="0010775E" w:rsidP="00E14F13">
      <w:r>
        <w:t>One area of concern has been if Chinese mills and printers are able to provide geolocation data</w:t>
      </w:r>
      <w:r w:rsidR="0018051A">
        <w:t xml:space="preserve">. </w:t>
      </w:r>
      <w:r w:rsidR="00124013" w:rsidRPr="004B3464">
        <w:t xml:space="preserve">The below information (abridged from </w:t>
      </w:r>
      <w:hyperlink r:id="rId28" w:history="1">
        <w:r w:rsidR="00124013" w:rsidRPr="004B3464">
          <w:rPr>
            <w:rStyle w:val="Hyperlink"/>
            <w:color w:val="auto"/>
          </w:rPr>
          <w:t>CMS Law-Now</w:t>
        </w:r>
      </w:hyperlink>
      <w:r w:rsidR="00124013" w:rsidRPr="004B3464">
        <w:rPr>
          <w:vertAlign w:val="superscript"/>
        </w:rPr>
        <w:t>™</w:t>
      </w:r>
      <w:r w:rsidR="00872907" w:rsidRPr="004B3464">
        <w:rPr>
          <w:vertAlign w:val="superscript"/>
        </w:rPr>
        <w:t xml:space="preserve"> </w:t>
      </w:r>
      <w:r w:rsidR="00872907" w:rsidRPr="004B3464">
        <w:t xml:space="preserve">) </w:t>
      </w:r>
      <w:r w:rsidR="0018051A">
        <w:t xml:space="preserve">demystifies this </w:t>
      </w:r>
      <w:r w:rsidR="00C26BF0">
        <w:t xml:space="preserve">and </w:t>
      </w:r>
      <w:r w:rsidR="0095478D">
        <w:t>provides the reader with some helpful information</w:t>
      </w:r>
      <w:r w:rsidR="00872907" w:rsidRPr="004B3464">
        <w:t>:</w:t>
      </w:r>
    </w:p>
    <w:p w14:paraId="12819D1D" w14:textId="77777777" w:rsidR="001A3D62" w:rsidRPr="004B3464" w:rsidRDefault="001A3D62" w:rsidP="00E14F13"/>
    <w:p w14:paraId="0C21F962" w14:textId="317F988C" w:rsidR="004C15BA" w:rsidRDefault="00A445D8" w:rsidP="00E157E4">
      <w:pPr>
        <w:pStyle w:val="Heading2"/>
      </w:pPr>
      <w:bookmarkStart w:id="19" w:name="_Toc237262947"/>
      <w:r>
        <w:t>Chinese laws covering the supply of data</w:t>
      </w:r>
      <w:bookmarkEnd w:id="19"/>
    </w:p>
    <w:p w14:paraId="759BF0A1" w14:textId="77777777" w:rsidR="00E157E4" w:rsidRPr="00E157E4" w:rsidRDefault="00E157E4" w:rsidP="00E157E4"/>
    <w:p w14:paraId="699A8D64" w14:textId="042E2621" w:rsidR="004C15BA" w:rsidRPr="00A04A37" w:rsidRDefault="004C15BA" w:rsidP="004C15BA">
      <w:pPr>
        <w:spacing w:after="160" w:line="259" w:lineRule="auto"/>
      </w:pPr>
      <w:r w:rsidRPr="00A04A37">
        <w:t xml:space="preserve">Some Chinese suppliers have expressed </w:t>
      </w:r>
      <w:r w:rsidR="0025450A">
        <w:t>concern that they might not be able to provide the requested geolocation data due to three</w:t>
      </w:r>
      <w:r w:rsidR="000C2D98">
        <w:t xml:space="preserve"> laws covering the topic</w:t>
      </w:r>
      <w:r w:rsidRPr="00A04A37">
        <w:t>.</w:t>
      </w:r>
      <w:r w:rsidR="000C2D98">
        <w:t xml:space="preserve"> </w:t>
      </w:r>
      <w:r w:rsidRPr="00A04A37">
        <w:t>Their hesitation stems from the intersection of three major Chinese laws that regulate geographic, security-related, and personal information. </w:t>
      </w:r>
    </w:p>
    <w:p w14:paraId="692F1349" w14:textId="77777777" w:rsidR="004C15BA" w:rsidRPr="00A04A37" w:rsidRDefault="004C15BA" w:rsidP="004C15BA">
      <w:pPr>
        <w:widowControl/>
        <w:numPr>
          <w:ilvl w:val="0"/>
          <w:numId w:val="38"/>
        </w:numPr>
        <w:autoSpaceDE/>
        <w:autoSpaceDN/>
        <w:spacing w:after="160" w:line="259" w:lineRule="auto"/>
      </w:pPr>
      <w:r w:rsidRPr="00A04A37">
        <w:t>Surveying &amp; Mapping Law</w:t>
      </w:r>
    </w:p>
    <w:p w14:paraId="4E03CF2E" w14:textId="77777777" w:rsidR="004C15BA" w:rsidRPr="00A04A37" w:rsidRDefault="004C15BA" w:rsidP="004C15BA">
      <w:pPr>
        <w:widowControl/>
        <w:numPr>
          <w:ilvl w:val="0"/>
          <w:numId w:val="38"/>
        </w:numPr>
        <w:autoSpaceDE/>
        <w:autoSpaceDN/>
        <w:spacing w:after="160" w:line="259" w:lineRule="auto"/>
      </w:pPr>
      <w:r w:rsidRPr="00A04A37">
        <w:t>Data Security Law (DSL)</w:t>
      </w:r>
    </w:p>
    <w:p w14:paraId="032FF4A0" w14:textId="77777777" w:rsidR="004C15BA" w:rsidRPr="00A04A37" w:rsidRDefault="004C15BA" w:rsidP="004C15BA">
      <w:pPr>
        <w:widowControl/>
        <w:numPr>
          <w:ilvl w:val="0"/>
          <w:numId w:val="38"/>
        </w:numPr>
        <w:autoSpaceDE/>
        <w:autoSpaceDN/>
        <w:spacing w:after="160" w:line="259" w:lineRule="auto"/>
      </w:pPr>
      <w:r w:rsidRPr="00A04A37">
        <w:t>Personal Information Protection Law (PIPL)</w:t>
      </w:r>
    </w:p>
    <w:p w14:paraId="6C8A98AC" w14:textId="63134568" w:rsidR="004C15BA" w:rsidRPr="00AD4119" w:rsidRDefault="007A54D6" w:rsidP="0A88F668">
      <w:pPr>
        <w:spacing w:after="160" w:line="259" w:lineRule="auto"/>
      </w:pPr>
      <w:r>
        <w:t>Each law</w:t>
      </w:r>
      <w:r w:rsidR="004C15BA">
        <w:t xml:space="preserve"> introduces a degree of caution,</w:t>
      </w:r>
      <w:r>
        <w:t xml:space="preserve"> but none of them </w:t>
      </w:r>
      <w:r w:rsidR="00BF606B">
        <w:t>say that a Chinese organisation cannot pass on the information</w:t>
      </w:r>
      <w:r w:rsidR="007771DD">
        <w:t>. The main thing is how the conversations are conducted between suppliers</w:t>
      </w:r>
      <w:r w:rsidR="007308C8">
        <w:t>.</w:t>
      </w:r>
    </w:p>
    <w:p w14:paraId="5E484319" w14:textId="2BAED080" w:rsidR="004C15BA" w:rsidRPr="00AD4119" w:rsidRDefault="1D707610" w:rsidP="0A88F668">
      <w:pPr>
        <w:pStyle w:val="Heading3"/>
      </w:pPr>
      <w:bookmarkStart w:id="20" w:name="_Toc237262948"/>
      <w:r>
        <w:t>1. Surveying &amp; Mapping Law</w:t>
      </w:r>
      <w:bookmarkEnd w:id="20"/>
    </w:p>
    <w:p w14:paraId="15430AAC" w14:textId="77777777" w:rsidR="004C15BA" w:rsidRPr="00A04A37" w:rsidRDefault="004C15BA" w:rsidP="004C15BA">
      <w:pPr>
        <w:spacing w:after="160" w:line="259" w:lineRule="auto"/>
      </w:pPr>
      <w:r>
        <w:t xml:space="preserve">This law treats geographic information as a matter of national security and assigns the state exclusive control over its collection and dissemination. </w:t>
      </w:r>
      <w:bookmarkStart w:id="21" w:name="_Int_rk5xXj2X"/>
      <w:r>
        <w:t>In particular, it</w:t>
      </w:r>
      <w:bookmarkEnd w:id="21"/>
      <w:r>
        <w:t xml:space="preserve"> restricts:</w:t>
      </w:r>
    </w:p>
    <w:p w14:paraId="47FD343D" w14:textId="77777777" w:rsidR="004C15BA" w:rsidRPr="00A04A37" w:rsidRDefault="004C15BA" w:rsidP="004C15BA">
      <w:pPr>
        <w:widowControl/>
        <w:numPr>
          <w:ilvl w:val="0"/>
          <w:numId w:val="39"/>
        </w:numPr>
        <w:autoSpaceDE/>
        <w:autoSpaceDN/>
        <w:spacing w:after="160" w:line="259" w:lineRule="auto"/>
      </w:pPr>
      <w:r w:rsidRPr="00A04A37">
        <w:t>Establishment and use of non-approved coordinate systems,</w:t>
      </w:r>
    </w:p>
    <w:p w14:paraId="57C9D423" w14:textId="77777777" w:rsidR="004C15BA" w:rsidRPr="00A04A37" w:rsidRDefault="004C15BA" w:rsidP="004C15BA">
      <w:pPr>
        <w:widowControl/>
        <w:numPr>
          <w:ilvl w:val="0"/>
          <w:numId w:val="39"/>
        </w:numPr>
        <w:autoSpaceDE/>
        <w:autoSpaceDN/>
        <w:spacing w:after="160" w:line="259" w:lineRule="auto"/>
      </w:pPr>
      <w:r w:rsidRPr="00A04A37">
        <w:t>Sharing of mapping data that could be classified as state secrets,</w:t>
      </w:r>
    </w:p>
    <w:p w14:paraId="74DC2398" w14:textId="77777777" w:rsidR="004C15BA" w:rsidRPr="00A04A37" w:rsidRDefault="004C15BA" w:rsidP="004C15BA">
      <w:pPr>
        <w:widowControl/>
        <w:numPr>
          <w:ilvl w:val="0"/>
          <w:numId w:val="39"/>
        </w:numPr>
        <w:autoSpaceDE/>
        <w:autoSpaceDN/>
        <w:spacing w:after="160" w:line="259" w:lineRule="auto"/>
      </w:pPr>
      <w:r>
        <w:t>Foreign entities conducting or accessing mapping activities in China.</w:t>
      </w:r>
    </w:p>
    <w:p w14:paraId="3C4E791A" w14:textId="45DABEB0" w:rsidR="004C15BA" w:rsidRPr="00A04A37" w:rsidRDefault="49831AB1" w:rsidP="3A209900">
      <w:pPr>
        <w:pStyle w:val="Heading4"/>
        <w:widowControl/>
      </w:pPr>
      <w:r>
        <w:t>Why it raises concerns:</w:t>
      </w:r>
    </w:p>
    <w:p w14:paraId="2988B017" w14:textId="47520F7E" w:rsidR="004C15BA" w:rsidRPr="00A04A37" w:rsidRDefault="00677367" w:rsidP="004C15BA">
      <w:pPr>
        <w:spacing w:after="160" w:line="259" w:lineRule="auto"/>
      </w:pPr>
      <w:r>
        <w:t xml:space="preserve">The concern </w:t>
      </w:r>
      <w:r w:rsidR="00C26BF0">
        <w:t xml:space="preserve">is that </w:t>
      </w:r>
      <w:r>
        <w:t>g</w:t>
      </w:r>
      <w:r w:rsidR="004C15BA">
        <w:t xml:space="preserve">eolocation data </w:t>
      </w:r>
      <w:r w:rsidR="00F72E00">
        <w:t>that comes from</w:t>
      </w:r>
      <w:r w:rsidR="004C15BA">
        <w:t xml:space="preserve"> agricultural land </w:t>
      </w:r>
      <w:r w:rsidR="0085456F">
        <w:t>could be seen as</w:t>
      </w:r>
      <w:r w:rsidR="004C15BA">
        <w:t xml:space="preserve"> “mapping </w:t>
      </w:r>
      <w:r w:rsidR="006425AE">
        <w:t>data</w:t>
      </w:r>
      <w:r w:rsidR="004C15BA">
        <w:t xml:space="preserve">,” </w:t>
      </w:r>
      <w:r w:rsidR="001E48F9">
        <w:t>and therefore as sensitive data</w:t>
      </w:r>
      <w:r w:rsidR="004C15BA">
        <w:t>.</w:t>
      </w:r>
    </w:p>
    <w:p w14:paraId="7BD82D6E" w14:textId="335C65EE" w:rsidR="004C15BA" w:rsidRPr="00A04A37" w:rsidRDefault="3297DA5F" w:rsidP="3A209900">
      <w:pPr>
        <w:pStyle w:val="Heading4"/>
      </w:pPr>
      <w:r>
        <w:t>Why it does not constitute a ban:</w:t>
      </w:r>
    </w:p>
    <w:p w14:paraId="2F53D550" w14:textId="1157C71A" w:rsidR="004C15BA" w:rsidRPr="00A04A37" w:rsidRDefault="004C15BA" w:rsidP="004C15BA">
      <w:pPr>
        <w:spacing w:after="160" w:line="259" w:lineRule="auto"/>
      </w:pPr>
      <w:r w:rsidRPr="00A04A37">
        <w:t>The law</w:t>
      </w:r>
      <w:r w:rsidR="009061B6">
        <w:t xml:space="preserve"> is</w:t>
      </w:r>
      <w:r w:rsidRPr="00A04A37">
        <w:t xml:space="preserve"> mainly</w:t>
      </w:r>
      <w:r w:rsidR="009061B6">
        <w:t xml:space="preserve"> concerned about military</w:t>
      </w:r>
      <w:r w:rsidRPr="00A04A37">
        <w:t xml:space="preserve"> targets </w:t>
      </w:r>
      <w:r w:rsidR="008851D2">
        <w:t xml:space="preserve">or large </w:t>
      </w:r>
      <w:r w:rsidR="00C26BF0">
        <w:t xml:space="preserve">scale or precise mapping </w:t>
      </w:r>
      <w:r w:rsidR="008851D2">
        <w:t>data</w:t>
      </w:r>
      <w:r w:rsidRPr="00A04A37">
        <w:t xml:space="preserve">. For </w:t>
      </w:r>
      <w:r w:rsidR="00607B5A">
        <w:t xml:space="preserve">organisations </w:t>
      </w:r>
      <w:r w:rsidRPr="00A04A37">
        <w:t xml:space="preserve">collecting </w:t>
      </w:r>
      <w:r w:rsidR="00607B5A">
        <w:t>geolocation data</w:t>
      </w:r>
      <w:r w:rsidRPr="00A04A37">
        <w:t xml:space="preserve"> for traceability purposes</w:t>
      </w:r>
      <w:r w:rsidR="00D9453C">
        <w:t xml:space="preserve"> then the</w:t>
      </w:r>
      <w:r w:rsidRPr="00A04A37">
        <w:t xml:space="preserve"> risk of falling into the law’s restrictive category is low.</w:t>
      </w:r>
      <w:r w:rsidR="00D9453C">
        <w:t xml:space="preserve"> Some organisations are already sha</w:t>
      </w:r>
      <w:r w:rsidR="00E16BAB">
        <w:t>ring this data without any issues.</w:t>
      </w:r>
    </w:p>
    <w:p w14:paraId="1BECA081" w14:textId="20079956" w:rsidR="004C15BA" w:rsidRPr="00A04A37" w:rsidRDefault="24E63A77" w:rsidP="0A88F668">
      <w:pPr>
        <w:pStyle w:val="Heading3"/>
      </w:pPr>
      <w:bookmarkStart w:id="22" w:name="_Toc237262949"/>
      <w:r>
        <w:t>2. Data Security Law (DSL)</w:t>
      </w:r>
      <w:bookmarkEnd w:id="22"/>
    </w:p>
    <w:p w14:paraId="5FD63FB7" w14:textId="7E3FA4E5" w:rsidR="004C15BA" w:rsidRPr="00A04A37" w:rsidRDefault="004C15BA" w:rsidP="004C15BA">
      <w:pPr>
        <w:spacing w:after="160" w:line="259" w:lineRule="auto"/>
      </w:pPr>
      <w:r w:rsidRPr="00A04A37">
        <w:t xml:space="preserve">The DSL introduces the concept of </w:t>
      </w:r>
      <w:r w:rsidRPr="009D6D3F">
        <w:t>“</w:t>
      </w:r>
      <w:r w:rsidRPr="00F51095">
        <w:t>Important Data</w:t>
      </w:r>
      <w:r w:rsidR="00A208B7" w:rsidRPr="009D6D3F">
        <w:t>,”</w:t>
      </w:r>
      <w:r w:rsidRPr="00A04A37">
        <w:t xml:space="preserve"> which</w:t>
      </w:r>
      <w:r w:rsidR="003D304C">
        <w:t xml:space="preserve"> needs to be treated sensitively</w:t>
      </w:r>
      <w:r w:rsidR="00DE7FC9">
        <w:t xml:space="preserve"> so it does not</w:t>
      </w:r>
      <w:r w:rsidR="003D304C">
        <w:t xml:space="preserve"> </w:t>
      </w:r>
      <w:r w:rsidRPr="00A04A37">
        <w:t>harm national security, public interest, or economic stability.</w:t>
      </w:r>
    </w:p>
    <w:p w14:paraId="39573AEE" w14:textId="77777777" w:rsidR="004C15BA" w:rsidRPr="00A04A37" w:rsidRDefault="004C15BA" w:rsidP="004C15BA">
      <w:pPr>
        <w:spacing w:after="160" w:line="259" w:lineRule="auto"/>
      </w:pPr>
      <w:r>
        <w:t>Exporting such data requires a security review by the Cyberspace Administration of China (CAC).</w:t>
      </w:r>
    </w:p>
    <w:p w14:paraId="5CC4636F" w14:textId="45DABEB0" w:rsidR="493C72C9" w:rsidRDefault="493C72C9" w:rsidP="3A209900">
      <w:pPr>
        <w:pStyle w:val="Heading4"/>
        <w:widowControl/>
      </w:pPr>
      <w:r>
        <w:t>Why it raises concerns:</w:t>
      </w:r>
    </w:p>
    <w:p w14:paraId="5D96BC90" w14:textId="5C6CD6C4" w:rsidR="004C15BA" w:rsidRPr="00A04A37" w:rsidRDefault="004C15BA" w:rsidP="004C15BA">
      <w:pPr>
        <w:spacing w:after="160" w:line="259" w:lineRule="auto"/>
      </w:pPr>
      <w:r>
        <w:t xml:space="preserve">The DSL’s definition of “Important Data” </w:t>
      </w:r>
      <w:r w:rsidRPr="006174EC">
        <w:t>is </w:t>
      </w:r>
      <w:r w:rsidRPr="00AB1AF2">
        <w:t>vague</w:t>
      </w:r>
      <w:r w:rsidRPr="006174EC">
        <w:t>,</w:t>
      </w:r>
      <w:r>
        <w:t xml:space="preserve"> and certain types of agricultural, environmental, or geographic data </w:t>
      </w:r>
      <w:r w:rsidR="006174EC">
        <w:t>could be seen as in</w:t>
      </w:r>
      <w:r>
        <w:t xml:space="preserve"> scope.</w:t>
      </w:r>
      <w:r w:rsidR="00357457">
        <w:t xml:space="preserve"> </w:t>
      </w:r>
      <w:r w:rsidR="004F11B7">
        <w:t>Organisat</w:t>
      </w:r>
      <w:r w:rsidR="00C26BF0">
        <w:t>i</w:t>
      </w:r>
      <w:r w:rsidR="004F11B7">
        <w:t>ons</w:t>
      </w:r>
      <w:r w:rsidR="005842EF">
        <w:t xml:space="preserve"> are concerned that they might not be </w:t>
      </w:r>
      <w:r>
        <w:t xml:space="preserve">compliant simply because </w:t>
      </w:r>
      <w:r w:rsidR="00501B96">
        <w:t>it is</w:t>
      </w:r>
      <w:r>
        <w:t xml:space="preserve"> unclear whether geolocation data would be deemed as “important data” under the DSL.</w:t>
      </w:r>
    </w:p>
    <w:p w14:paraId="7ACCB9D9" w14:textId="0868AF60" w:rsidR="004C15BA" w:rsidRPr="00A04A37" w:rsidRDefault="5678C7D6" w:rsidP="3A209900">
      <w:pPr>
        <w:pStyle w:val="Heading4"/>
      </w:pPr>
      <w:r>
        <w:lastRenderedPageBreak/>
        <w:t>Why it does not constitute a ban:</w:t>
      </w:r>
    </w:p>
    <w:p w14:paraId="6294D54A" w14:textId="4044242C" w:rsidR="004C15BA" w:rsidRPr="00A04A37" w:rsidRDefault="004C15BA" w:rsidP="00635CAC">
      <w:pPr>
        <w:spacing w:after="160" w:line="259" w:lineRule="auto"/>
      </w:pPr>
      <w:r w:rsidRPr="00A04A37">
        <w:t>Not all geolocation data is</w:t>
      </w:r>
      <w:r w:rsidR="00A15989">
        <w:t xml:space="preserve"> considered to be</w:t>
      </w:r>
      <w:r w:rsidRPr="00A04A37">
        <w:t xml:space="preserve"> “important”. </w:t>
      </w:r>
      <w:r w:rsidR="00055B81">
        <w:t>Especially as the law has an approval process</w:t>
      </w:r>
      <w:r w:rsidR="0020600C">
        <w:t xml:space="preserve"> which will allow organisations to share the geolocation data</w:t>
      </w:r>
      <w:r w:rsidR="00635CAC">
        <w:t>, so long as they follow the correct process</w:t>
      </w:r>
      <w:r w:rsidR="0020600C">
        <w:t>.</w:t>
      </w:r>
      <w:r w:rsidR="00635CAC">
        <w:t xml:space="preserve"> </w:t>
      </w:r>
      <w:r w:rsidR="004700E2">
        <w:t>Again,</w:t>
      </w:r>
      <w:r w:rsidR="00635CAC">
        <w:t xml:space="preserve"> some organisations are already sharing this data without any issues.</w:t>
      </w:r>
    </w:p>
    <w:p w14:paraId="02C76FD9" w14:textId="10081E9A" w:rsidR="004C15BA" w:rsidRPr="00A04A37" w:rsidRDefault="4A865AA4" w:rsidP="3A209900">
      <w:pPr>
        <w:pStyle w:val="Heading3"/>
      </w:pPr>
      <w:bookmarkStart w:id="23" w:name="_Toc237262950"/>
      <w:r>
        <w:t>3. Personal Information Protection Law (PIPL)</w:t>
      </w:r>
      <w:bookmarkEnd w:id="23"/>
    </w:p>
    <w:p w14:paraId="381A83E4" w14:textId="60AD0211" w:rsidR="004C15BA" w:rsidRPr="00A04A37" w:rsidRDefault="004C15BA" w:rsidP="004C15BA">
      <w:pPr>
        <w:spacing w:after="160" w:line="259" w:lineRule="auto"/>
      </w:pPr>
      <w:r>
        <w:t>The PIPL governs how personal information is collected, used, and exported. Several national standards explicitly include </w:t>
      </w:r>
      <w:r w:rsidRPr="00AB1AF2">
        <w:t xml:space="preserve">precise </w:t>
      </w:r>
      <w:r w:rsidR="00A208B7">
        <w:t>geolocation</w:t>
      </w:r>
      <w:r w:rsidRPr="00AB1AF2">
        <w:t xml:space="preserve"> data</w:t>
      </w:r>
      <w:r>
        <w:t> as “sensitive personal information</w:t>
      </w:r>
      <w:r w:rsidR="00B22B3E">
        <w:t>.”</w:t>
      </w:r>
    </w:p>
    <w:p w14:paraId="4F03E30C" w14:textId="45DABEB0" w:rsidR="367DF1A5" w:rsidRDefault="367DF1A5" w:rsidP="3A209900">
      <w:pPr>
        <w:pStyle w:val="Heading4"/>
        <w:widowControl/>
      </w:pPr>
      <w:r>
        <w:t>Why it raises concerns:</w:t>
      </w:r>
    </w:p>
    <w:p w14:paraId="513B64BA" w14:textId="200799E6" w:rsidR="004C15BA" w:rsidRPr="00A04A37" w:rsidRDefault="009B6EEF" w:rsidP="004C15BA">
      <w:pPr>
        <w:spacing w:after="160" w:line="259" w:lineRule="auto"/>
      </w:pPr>
      <w:r>
        <w:t xml:space="preserve">Geolocation data for small farmers </w:t>
      </w:r>
      <w:r w:rsidR="004C15BA" w:rsidRPr="00A04A37">
        <w:t xml:space="preserve">could be interpreted as personal information, especially when linked to named landowners or families. </w:t>
      </w:r>
      <w:r w:rsidR="00B120B8">
        <w:t>To be able to use the geolocation data the following steps would need to be taken</w:t>
      </w:r>
      <w:r w:rsidR="004C15BA" w:rsidRPr="00A04A37">
        <w:t>:</w:t>
      </w:r>
    </w:p>
    <w:p w14:paraId="6E942070" w14:textId="065BA9C3" w:rsidR="004C15BA" w:rsidRPr="00A04A37" w:rsidRDefault="00B120B8" w:rsidP="004C15BA">
      <w:pPr>
        <w:widowControl/>
        <w:numPr>
          <w:ilvl w:val="0"/>
          <w:numId w:val="40"/>
        </w:numPr>
        <w:autoSpaceDE/>
        <w:autoSpaceDN/>
        <w:spacing w:after="160" w:line="259" w:lineRule="auto"/>
      </w:pPr>
      <w:r>
        <w:t>The farmers</w:t>
      </w:r>
      <w:r w:rsidR="00C26BF0">
        <w:t>/smallholders</w:t>
      </w:r>
      <w:r>
        <w:t xml:space="preserve"> would need to give consent for the use of the geolocation data</w:t>
      </w:r>
      <w:r w:rsidR="009D5973">
        <w:t>,</w:t>
      </w:r>
    </w:p>
    <w:p w14:paraId="43AD65F8" w14:textId="317AA9B9" w:rsidR="004C15BA" w:rsidRPr="00A04A37" w:rsidRDefault="009D5973" w:rsidP="004C15BA">
      <w:pPr>
        <w:widowControl/>
        <w:numPr>
          <w:ilvl w:val="0"/>
          <w:numId w:val="40"/>
        </w:numPr>
        <w:autoSpaceDE/>
        <w:autoSpaceDN/>
        <w:spacing w:after="160" w:line="259" w:lineRule="auto"/>
      </w:pPr>
      <w:r>
        <w:t>The requirement of</w:t>
      </w:r>
      <w:r w:rsidR="004C15BA" w:rsidRPr="00A04A37">
        <w:t xml:space="preserve"> security measures for data handling,</w:t>
      </w:r>
    </w:p>
    <w:p w14:paraId="6E2DA98B" w14:textId="3EA133F7" w:rsidR="004C15BA" w:rsidRPr="00A04A37" w:rsidRDefault="00C26BF0" w:rsidP="004C15BA">
      <w:pPr>
        <w:widowControl/>
        <w:numPr>
          <w:ilvl w:val="0"/>
          <w:numId w:val="40"/>
        </w:numPr>
        <w:autoSpaceDE/>
        <w:autoSpaceDN/>
        <w:spacing w:after="160" w:line="259" w:lineRule="auto"/>
      </w:pPr>
      <w:r>
        <w:t>R</w:t>
      </w:r>
      <w:r w:rsidR="00D50D92">
        <w:t>eason</w:t>
      </w:r>
      <w:r>
        <w:t xml:space="preserve">s given as to </w:t>
      </w:r>
      <w:r w:rsidR="00D50D92">
        <w:t>why the information is required outside of China</w:t>
      </w:r>
    </w:p>
    <w:p w14:paraId="68CE1A27" w14:textId="77777777" w:rsidR="004C15BA" w:rsidRPr="00A04A37" w:rsidRDefault="004C15BA" w:rsidP="004C15BA">
      <w:pPr>
        <w:widowControl/>
        <w:numPr>
          <w:ilvl w:val="0"/>
          <w:numId w:val="40"/>
        </w:numPr>
        <w:autoSpaceDE/>
        <w:autoSpaceDN/>
        <w:spacing w:after="160" w:line="259" w:lineRule="auto"/>
      </w:pPr>
      <w:r>
        <w:t>Conduct security review or conclude standard contracts / obtain personal information protection certification for overseas transfer (depending on the amount of sensitive personal information being transferred).</w:t>
      </w:r>
    </w:p>
    <w:p w14:paraId="29412B38" w14:textId="335C65EE" w:rsidR="4AC6EC9A" w:rsidRDefault="4AC6EC9A" w:rsidP="3A209900">
      <w:pPr>
        <w:pStyle w:val="Heading4"/>
      </w:pPr>
      <w:r>
        <w:t>Why it does not constitute a ban:</w:t>
      </w:r>
    </w:p>
    <w:p w14:paraId="121F9D31" w14:textId="112905BC" w:rsidR="004C15BA" w:rsidRPr="00A04A37" w:rsidRDefault="004C15BA" w:rsidP="004C15BA">
      <w:pPr>
        <w:spacing w:after="160" w:line="259" w:lineRule="auto"/>
      </w:pPr>
      <w:r>
        <w:t>The law does </w:t>
      </w:r>
      <w:r w:rsidRPr="00AB1AF2">
        <w:t>not prevent</w:t>
      </w:r>
      <w:r w:rsidRPr="00A8421C">
        <w:t> </w:t>
      </w:r>
      <w:r w:rsidR="00A8421C">
        <w:t>organisations sharing geolocation data</w:t>
      </w:r>
      <w:r w:rsidR="00C072FD">
        <w:t>, it lays out certain requirements to do so.</w:t>
      </w:r>
      <w:r w:rsidR="00A8421C">
        <w:t xml:space="preserve"> </w:t>
      </w:r>
      <w:r w:rsidR="00C072FD">
        <w:t xml:space="preserve">If an </w:t>
      </w:r>
      <w:r w:rsidR="00CC1FF6">
        <w:t>organisation</w:t>
      </w:r>
      <w:r w:rsidR="00C072FD">
        <w:t xml:space="preserve"> </w:t>
      </w:r>
      <w:r w:rsidR="007574A5">
        <w:t xml:space="preserve">obtains all the required consent and follows </w:t>
      </w:r>
      <w:r w:rsidR="008C03B2">
        <w:t xml:space="preserve">the </w:t>
      </w:r>
      <w:r>
        <w:t xml:space="preserve">security requirements, </w:t>
      </w:r>
      <w:r w:rsidR="008C03B2">
        <w:t>there is no reason why the data cannot be shared</w:t>
      </w:r>
      <w:r>
        <w:t>. The law is meant to </w:t>
      </w:r>
      <w:r w:rsidRPr="00AB1AF2">
        <w:t>protect privacy</w:t>
      </w:r>
      <w:r w:rsidRPr="00C82127">
        <w:t>,</w:t>
      </w:r>
      <w:r>
        <w:t xml:space="preserve"> not block transparency.</w:t>
      </w:r>
    </w:p>
    <w:p w14:paraId="61DE2283" w14:textId="6F6C8F90" w:rsidR="004C15BA" w:rsidRPr="00A04A37" w:rsidRDefault="21F1CFB5" w:rsidP="0A88F668">
      <w:pPr>
        <w:pStyle w:val="Heading3"/>
      </w:pPr>
      <w:bookmarkStart w:id="24" w:name="_Toc237262951"/>
      <w:r>
        <w:t xml:space="preserve">The </w:t>
      </w:r>
      <w:r w:rsidR="00A52FD2">
        <w:t xml:space="preserve">main thing to understand </w:t>
      </w:r>
      <w:r>
        <w:t>is:</w:t>
      </w:r>
      <w:bookmarkEnd w:id="24"/>
    </w:p>
    <w:p w14:paraId="21DEE0E5" w14:textId="43526EBC" w:rsidR="004C15BA" w:rsidRPr="00A04A37" w:rsidRDefault="004C15BA" w:rsidP="004C15BA">
      <w:pPr>
        <w:spacing w:after="160" w:line="259" w:lineRule="auto"/>
      </w:pPr>
      <w:r w:rsidRPr="00A04A37">
        <w:t>These three laws</w:t>
      </w:r>
      <w:r w:rsidR="001B5BD1">
        <w:t xml:space="preserve"> sound daunting</w:t>
      </w:r>
      <w:r w:rsidR="003E1F1C">
        <w:t>, but if the correct procedures are followed</w:t>
      </w:r>
      <w:r w:rsidR="005E48B0">
        <w:t xml:space="preserve"> then it is possible to share geolocation data.</w:t>
      </w:r>
      <w:r w:rsidRPr="00A04A37">
        <w:t xml:space="preserve"> But none of them creates a legal prohibition against sharing farm geolocation data for EUDR purposes.</w:t>
      </w:r>
      <w:r w:rsidR="002B57E5">
        <w:t xml:space="preserve"> What you need to do is:</w:t>
      </w:r>
    </w:p>
    <w:p w14:paraId="7E667AD8" w14:textId="77777777" w:rsidR="004C15BA" w:rsidRPr="002B57E5" w:rsidRDefault="004C15BA" w:rsidP="004C15BA">
      <w:pPr>
        <w:widowControl/>
        <w:numPr>
          <w:ilvl w:val="0"/>
          <w:numId w:val="41"/>
        </w:numPr>
        <w:autoSpaceDE/>
        <w:autoSpaceDN/>
        <w:spacing w:after="160" w:line="259" w:lineRule="auto"/>
      </w:pPr>
      <w:r w:rsidRPr="003C32B1">
        <w:t>Clarify what data is being collected</w:t>
      </w:r>
      <w:r w:rsidRPr="002B57E5">
        <w:t> (e.g., plot coordinates, not personal tracking),</w:t>
      </w:r>
    </w:p>
    <w:p w14:paraId="3C839F83" w14:textId="41505B81" w:rsidR="004C15BA" w:rsidRPr="002B57E5" w:rsidRDefault="004C15BA" w:rsidP="004C15BA">
      <w:pPr>
        <w:widowControl/>
        <w:numPr>
          <w:ilvl w:val="0"/>
          <w:numId w:val="41"/>
        </w:numPr>
        <w:autoSpaceDE/>
        <w:autoSpaceDN/>
        <w:spacing w:after="160" w:line="259" w:lineRule="auto"/>
      </w:pPr>
      <w:r w:rsidRPr="003C32B1">
        <w:t xml:space="preserve">Secure appropriate consent, </w:t>
      </w:r>
      <w:r w:rsidR="003420C4" w:rsidRPr="003C32B1">
        <w:t>approvals,</w:t>
      </w:r>
      <w:r w:rsidRPr="003C32B1">
        <w:t xml:space="preserve"> and safeguards</w:t>
      </w:r>
      <w:r w:rsidRPr="002B57E5">
        <w:t>, and</w:t>
      </w:r>
    </w:p>
    <w:p w14:paraId="208B45ED" w14:textId="7B365C7A" w:rsidR="004C15BA" w:rsidRPr="002B57E5" w:rsidRDefault="004C15BA" w:rsidP="004C15BA">
      <w:pPr>
        <w:widowControl/>
        <w:numPr>
          <w:ilvl w:val="0"/>
          <w:numId w:val="41"/>
        </w:numPr>
        <w:autoSpaceDE/>
        <w:autoSpaceDN/>
        <w:spacing w:after="160" w:line="259" w:lineRule="auto"/>
      </w:pPr>
      <w:r w:rsidRPr="003C32B1">
        <w:t>Use vetted, secure channels</w:t>
      </w:r>
      <w:r w:rsidRPr="002B57E5">
        <w:t> for data sharing.</w:t>
      </w:r>
    </w:p>
    <w:p w14:paraId="1A0646B4" w14:textId="74DE63E8" w:rsidR="004C15BA" w:rsidRPr="00A04A37" w:rsidRDefault="00565A36" w:rsidP="004C15BA">
      <w:pPr>
        <w:spacing w:after="160" w:line="259" w:lineRule="auto"/>
      </w:pPr>
      <w:r>
        <w:t>Many Chinese organisations are already sharing this data without any issues</w:t>
      </w:r>
      <w:r w:rsidR="004C15BA">
        <w:t>. </w:t>
      </w:r>
    </w:p>
    <w:p w14:paraId="2F2988DF" w14:textId="5EFE8300" w:rsidR="50BC03CD" w:rsidRDefault="52CF0B0F" w:rsidP="3A209900">
      <w:pPr>
        <w:pStyle w:val="Heading3"/>
      </w:pPr>
      <w:bookmarkStart w:id="25" w:name="_Toc237262952"/>
      <w:r>
        <w:t>What should organisations do now:</w:t>
      </w:r>
      <w:bookmarkStart w:id="26" w:name="eztoc_14"/>
      <w:bookmarkEnd w:id="25"/>
      <w:bookmarkEnd w:id="26"/>
    </w:p>
    <w:p w14:paraId="2766906F" w14:textId="1033424F" w:rsidR="004C15BA" w:rsidRPr="00A04A37" w:rsidRDefault="004C15BA" w:rsidP="3A209900">
      <w:pPr>
        <w:pStyle w:val="Heading4"/>
      </w:pPr>
      <w:r>
        <w:t>Engage Suppliers Early</w:t>
      </w:r>
    </w:p>
    <w:p w14:paraId="7A840EB7" w14:textId="78A2BC66" w:rsidR="4DC763CC" w:rsidRDefault="00ED4E12" w:rsidP="4DC763CC">
      <w:pPr>
        <w:spacing w:after="160" w:line="259" w:lineRule="auto"/>
      </w:pPr>
      <w:r>
        <w:t>Organisa</w:t>
      </w:r>
      <w:r w:rsidR="00793EFB">
        <w:t>t</w:t>
      </w:r>
      <w:r>
        <w:t>ions need to start talking to t</w:t>
      </w:r>
      <w:r w:rsidR="00793EFB">
        <w:t>h</w:t>
      </w:r>
      <w:r w:rsidR="00C26BF0">
        <w:t>e</w:t>
      </w:r>
      <w:r w:rsidR="00793EFB">
        <w:t xml:space="preserve"> Chinese organisations in </w:t>
      </w:r>
      <w:r w:rsidR="003C32B1">
        <w:t>their</w:t>
      </w:r>
      <w:r w:rsidR="00793EFB">
        <w:t xml:space="preserve"> supply chains</w:t>
      </w:r>
      <w:r w:rsidR="00C26BF0">
        <w:t>,</w:t>
      </w:r>
      <w:r w:rsidR="005E1602">
        <w:t xml:space="preserve"> </w:t>
      </w:r>
      <w:r w:rsidR="003C32B1">
        <w:t>discuss everyone’s</w:t>
      </w:r>
      <w:r w:rsidR="005E1602">
        <w:t xml:space="preserve"> concerns and </w:t>
      </w:r>
      <w:r w:rsidR="003C32B1">
        <w:t>establish how</w:t>
      </w:r>
      <w:r w:rsidR="005E1602">
        <w:t xml:space="preserve"> the geolocation data can be supplied</w:t>
      </w:r>
      <w:r w:rsidR="00B81CC5">
        <w:t>, so it complies with the law.</w:t>
      </w:r>
      <w:r w:rsidR="004C15BA">
        <w:t xml:space="preserve"> It is important to clarify that data sharing is a regulatory requirement under EUDR, not a negotiation.</w:t>
      </w:r>
    </w:p>
    <w:p w14:paraId="299E4210" w14:textId="0394107B" w:rsidR="004C15BA" w:rsidRPr="00A04A37" w:rsidRDefault="24F84254" w:rsidP="0031459C">
      <w:pPr>
        <w:pStyle w:val="Heading4"/>
      </w:pPr>
      <w:r>
        <w:t>Conclusion</w:t>
      </w:r>
    </w:p>
    <w:p w14:paraId="72B97083" w14:textId="7282AAC1" w:rsidR="00B86807" w:rsidRPr="00A04A37" w:rsidRDefault="004C15BA" w:rsidP="0A88F668">
      <w:pPr>
        <w:spacing w:after="160" w:line="259" w:lineRule="auto"/>
        <w:rPr>
          <w:b/>
          <w:bCs/>
        </w:rPr>
      </w:pPr>
      <w:r>
        <w:t>Geolocation</w:t>
      </w:r>
      <w:r w:rsidR="0007102B">
        <w:t xml:space="preserve"> data</w:t>
      </w:r>
      <w:r>
        <w:t xml:space="preserve"> sharing with Chinese suppliers is </w:t>
      </w:r>
      <w:r w:rsidRPr="003C32B1">
        <w:t>legally and operationally possible</w:t>
      </w:r>
      <w:r w:rsidRPr="0007102B">
        <w:t>,</w:t>
      </w:r>
      <w:r>
        <w:t xml:space="preserve"> despite </w:t>
      </w:r>
      <w:r w:rsidR="00F55BB7">
        <w:t xml:space="preserve">the </w:t>
      </w:r>
      <w:r>
        <w:t xml:space="preserve">complex </w:t>
      </w:r>
      <w:r w:rsidR="00F55BB7">
        <w:t>laws governing the sharing of data</w:t>
      </w:r>
      <w:r>
        <w:t xml:space="preserve">. </w:t>
      </w:r>
      <w:r w:rsidR="0031459C">
        <w:t>Or</w:t>
      </w:r>
      <w:r w:rsidR="00ED6CA4">
        <w:t>gan</w:t>
      </w:r>
      <w:r w:rsidR="00EE5D94">
        <w:t>is</w:t>
      </w:r>
      <w:r w:rsidR="00C26BF0">
        <w:t>a</w:t>
      </w:r>
      <w:r w:rsidR="00ED6CA4">
        <w:t xml:space="preserve">tions should talk to their suppliers and come to a decision on </w:t>
      </w:r>
      <w:r w:rsidR="00EE5D94">
        <w:t xml:space="preserve">how they are going work within the requirements of the Chinese laws and EUDR. </w:t>
      </w:r>
      <w:r w:rsidR="00F55BB7">
        <w:lastRenderedPageBreak/>
        <w:t>Organisations should always take legal advice when discussing this topic</w:t>
      </w:r>
      <w:r>
        <w:t>.</w:t>
      </w:r>
    </w:p>
    <w:p w14:paraId="5BC4FCFE" w14:textId="77777777" w:rsidR="00E14F13" w:rsidRDefault="2237E80C" w:rsidP="00E14F13">
      <w:pPr>
        <w:pStyle w:val="Heading1"/>
      </w:pPr>
      <w:bookmarkStart w:id="27" w:name="_Toc237262953"/>
      <w:r>
        <w:t>Information on what EUDR data US mills can provide</w:t>
      </w:r>
      <w:bookmarkEnd w:id="27"/>
    </w:p>
    <w:p w14:paraId="46D774ED" w14:textId="77777777" w:rsidR="003420C4" w:rsidRDefault="003420C4" w:rsidP="003420C4"/>
    <w:p w14:paraId="26A154FE" w14:textId="1BBFDB78" w:rsidR="003420C4" w:rsidRPr="003420C4" w:rsidRDefault="272476E3" w:rsidP="003420C4">
      <w:r>
        <w:t xml:space="preserve">The research carried out by the </w:t>
      </w:r>
      <w:r w:rsidR="7A337DE6">
        <w:t xml:space="preserve">T&amp;FWG has found a mixed picture in </w:t>
      </w:r>
      <w:r w:rsidR="5160F07A">
        <w:t>USA and Canada.</w:t>
      </w:r>
      <w:r w:rsidR="7A337DE6">
        <w:t xml:space="preserve"> </w:t>
      </w:r>
      <w:r w:rsidR="28BEF03E">
        <w:t>It all depends upon where the mill is sourcing its raw material from. Raw materi</w:t>
      </w:r>
      <w:r w:rsidR="7C49AD6E">
        <w:t>al is coming from material that can be tracked back to the geolocation</w:t>
      </w:r>
      <w:r w:rsidR="00C61B8D">
        <w:t>,</w:t>
      </w:r>
      <w:r w:rsidR="7C49AD6E">
        <w:t xml:space="preserve"> and printers are working with these mills to have a source of EUDR compliant papers to print on. </w:t>
      </w:r>
    </w:p>
    <w:p w14:paraId="756974B2" w14:textId="3FE6B028" w:rsidR="003420C4" w:rsidRPr="003420C4" w:rsidRDefault="003420C4" w:rsidP="0A88F668"/>
    <w:p w14:paraId="6E9BF2D2" w14:textId="3F90B68F" w:rsidR="003420C4" w:rsidRPr="004B3464" w:rsidRDefault="455F54A9" w:rsidP="0A88F668">
      <w:r>
        <w:t xml:space="preserve">The issue comes with mills whose raw material comes from chips or sawdust that can constitute 10/15% </w:t>
      </w:r>
      <w:r w:rsidR="01C0CD9F">
        <w:t xml:space="preserve">or even 80/90% of the papers they are producing. The lumber yards in these cases </w:t>
      </w:r>
      <w:r w:rsidR="4F306C6F">
        <w:t>cannot</w:t>
      </w:r>
      <w:r w:rsidR="01C0CD9F">
        <w:t xml:space="preserve"> see a way to being able to provide </w:t>
      </w:r>
      <w:r w:rsidR="01C0CD9F" w:rsidRPr="004B3464">
        <w:t>geolocation data</w:t>
      </w:r>
      <w:r w:rsidR="579ED97C" w:rsidRPr="004B3464">
        <w:t xml:space="preserve">. </w:t>
      </w:r>
      <w:r w:rsidR="005B563C" w:rsidRPr="004B3464">
        <w:t>Such</w:t>
      </w:r>
      <w:r w:rsidR="579ED97C" w:rsidRPr="004B3464">
        <w:t xml:space="preserve"> papers will not be EUDR </w:t>
      </w:r>
      <w:r w:rsidR="44AE5522" w:rsidRPr="004B3464">
        <w:t>compliant,</w:t>
      </w:r>
      <w:r w:rsidR="579ED97C" w:rsidRPr="004B3464">
        <w:t xml:space="preserve"> and</w:t>
      </w:r>
      <w:r w:rsidR="00C26BF0">
        <w:t xml:space="preserve"> many</w:t>
      </w:r>
      <w:r w:rsidR="0058339C">
        <w:t xml:space="preserve"> US</w:t>
      </w:r>
      <w:r w:rsidR="579ED97C" w:rsidRPr="004B3464">
        <w:t xml:space="preserve"> printers are s</w:t>
      </w:r>
      <w:r w:rsidR="787AB010" w:rsidRPr="004B3464">
        <w:t>topping sourcing from them.</w:t>
      </w:r>
      <w:r w:rsidR="0E85F2AB" w:rsidRPr="004B3464">
        <w:t xml:space="preserve"> Or, if they do use such papers</w:t>
      </w:r>
      <w:r w:rsidR="00C61B8D">
        <w:t>,</w:t>
      </w:r>
      <w:r w:rsidR="0E85F2AB" w:rsidRPr="004B3464">
        <w:t xml:space="preserve"> they </w:t>
      </w:r>
      <w:r w:rsidR="005B563C" w:rsidRPr="004B3464">
        <w:t>can</w:t>
      </w:r>
      <w:r w:rsidR="0E85F2AB" w:rsidRPr="004B3464">
        <w:t xml:space="preserve"> only be used for product for the </w:t>
      </w:r>
      <w:r w:rsidR="005B563C" w:rsidRPr="004B3464">
        <w:t>domestic (North American)</w:t>
      </w:r>
      <w:r w:rsidR="0E85F2AB" w:rsidRPr="004B3464">
        <w:t xml:space="preserve"> market.</w:t>
      </w:r>
    </w:p>
    <w:p w14:paraId="1AC1E39F" w14:textId="14FFDF9D" w:rsidR="003420C4" w:rsidRPr="004B3464" w:rsidRDefault="003420C4" w:rsidP="0A88F668"/>
    <w:p w14:paraId="5D0AD3E7" w14:textId="4E080497" w:rsidR="003420C4" w:rsidRPr="003420C4" w:rsidRDefault="0E85F2AB" w:rsidP="0A88F668">
      <w:r>
        <w:t xml:space="preserve">There is some good news, in that Canadian paper can be produced from timber grown on </w:t>
      </w:r>
      <w:r w:rsidR="716E2C44">
        <w:t>crown land, which has a known operation</w:t>
      </w:r>
      <w:r w:rsidR="14DA033F">
        <w:t>al</w:t>
      </w:r>
      <w:r w:rsidR="716E2C44">
        <w:t xml:space="preserve"> risk.</w:t>
      </w:r>
      <w:r w:rsidR="46FF15DA">
        <w:t xml:space="preserve"> The Quebec local government has created a platform</w:t>
      </w:r>
      <w:r w:rsidR="003420C4">
        <w:t xml:space="preserve"> to help producers in that region comply with EUDR and compile/store the required information.</w:t>
      </w:r>
      <w:r w:rsidR="2AE8BFDB">
        <w:t xml:space="preserve"> The reader can use the following link to see what they are doing:</w:t>
      </w:r>
    </w:p>
    <w:p w14:paraId="03701D1D" w14:textId="77777777" w:rsidR="003420C4" w:rsidRPr="003420C4" w:rsidRDefault="003420C4" w:rsidP="003420C4">
      <w:r w:rsidRPr="003420C4">
        <w:t> </w:t>
      </w:r>
    </w:p>
    <w:p w14:paraId="7F198CFD" w14:textId="77777777" w:rsidR="003420C4" w:rsidRDefault="003420C4" w:rsidP="003420C4">
      <w:hyperlink r:id="rId29" w:tgtFrame="_blank" w:tooltip="https://quebecwoodexport.com/wp-content/uploads/2025/06/Guide-utilisateur_v3_en.pdf" w:history="1">
        <w:r w:rsidRPr="003420C4">
          <w:rPr>
            <w:rStyle w:val="Hyperlink"/>
          </w:rPr>
          <w:t>https://quebecwoodexport.com/wp-content/uploads/2025/06/Guide-utilisateur_v3_en.pdf</w:t>
        </w:r>
      </w:hyperlink>
      <w:r w:rsidRPr="003420C4">
        <w:t>    </w:t>
      </w:r>
    </w:p>
    <w:p w14:paraId="1F25130E" w14:textId="77777777" w:rsidR="006108B4" w:rsidRDefault="006108B4" w:rsidP="003420C4"/>
    <w:p w14:paraId="2642FB11" w14:textId="5615F36D" w:rsidR="006108B4" w:rsidRPr="006108B4" w:rsidRDefault="006108B4" w:rsidP="004B3464">
      <w:r>
        <w:t xml:space="preserve">A complicating fact is that many publishers do not source </w:t>
      </w:r>
      <w:r w:rsidR="00BF2138">
        <w:t xml:space="preserve">Chapter 48 products </w:t>
      </w:r>
      <w:r>
        <w:t>direct from US printers, but via US warehouses</w:t>
      </w:r>
      <w:r w:rsidR="009414DA">
        <w:t>/distributors</w:t>
      </w:r>
      <w:r>
        <w:t xml:space="preserve">. </w:t>
      </w:r>
      <w:r w:rsidR="009414DA">
        <w:t xml:space="preserve">The importing publisher may need to therefore work with the US distributor to either assure themselves of the origins of the </w:t>
      </w:r>
      <w:r w:rsidR="00BF2138">
        <w:t xml:space="preserve">Chapter 48 products </w:t>
      </w:r>
      <w:r w:rsidR="009414DA">
        <w:t>and source the forestry data from the printer involved, or</w:t>
      </w:r>
      <w:r w:rsidR="00657A6A">
        <w:t xml:space="preserve"> get the data from the distributor themselves (some distributors are looking at potentially holding the data for customers to then source). </w:t>
      </w:r>
      <w:r w:rsidR="006F08A5">
        <w:t xml:space="preserve">If the importing publisher cannot assure themselves of the origins of the particular consignment of </w:t>
      </w:r>
      <w:r w:rsidR="00BF2138">
        <w:t>Chapter 48 products</w:t>
      </w:r>
      <w:r w:rsidR="006F08A5">
        <w:t xml:space="preserve"> and source the data required, it should be assumed that these books will be market restricted when arriving in the UK</w:t>
      </w:r>
      <w:r w:rsidR="00EA15F0">
        <w:t xml:space="preserve"> – and would not be able to be sold into the EU.</w:t>
      </w:r>
    </w:p>
    <w:p w14:paraId="650869BD" w14:textId="77777777" w:rsidR="003420C4" w:rsidRDefault="003420C4" w:rsidP="003420C4"/>
    <w:p w14:paraId="15E0E67E" w14:textId="60BF83DD" w:rsidR="1932F7D5" w:rsidRDefault="2E10ED64" w:rsidP="0A88F668">
      <w:pPr>
        <w:pStyle w:val="Heading1"/>
      </w:pPr>
      <w:bookmarkStart w:id="28" w:name="_Toc237262954"/>
      <w:r>
        <w:t xml:space="preserve">Information on what EUDR data </w:t>
      </w:r>
      <w:r w:rsidR="151123E3">
        <w:t xml:space="preserve">Indian </w:t>
      </w:r>
      <w:r w:rsidR="54ADCCED">
        <w:t>printers</w:t>
      </w:r>
      <w:r w:rsidR="3FF9599E">
        <w:t xml:space="preserve"> provide</w:t>
      </w:r>
      <w:bookmarkEnd w:id="28"/>
    </w:p>
    <w:p w14:paraId="4F336DC6" w14:textId="40BBB72A" w:rsidR="0A88F668" w:rsidRDefault="0A88F668"/>
    <w:p w14:paraId="256193B1" w14:textId="6093C5DC" w:rsidR="564EB5E0" w:rsidRDefault="564EB5E0">
      <w:r>
        <w:t>It is the T&amp;FWG</w:t>
      </w:r>
      <w:r w:rsidR="00E90CCA">
        <w:t>’s</w:t>
      </w:r>
      <w:r>
        <w:t xml:space="preserve"> understanding that Indian printers are using EU and Chinese papers that will be EUDR compliant.</w:t>
      </w:r>
      <w:r w:rsidR="007E5B7B">
        <w:t xml:space="preserve"> However, the reader is advised </w:t>
      </w:r>
      <w:r w:rsidR="002300BE">
        <w:t xml:space="preserve">perform </w:t>
      </w:r>
      <w:r w:rsidR="007E5B7B">
        <w:t xml:space="preserve">their own due diligence and </w:t>
      </w:r>
      <w:r w:rsidR="002300BE">
        <w:t xml:space="preserve">seek </w:t>
      </w:r>
      <w:r w:rsidR="007E5B7B">
        <w:t xml:space="preserve">their own legal advice. </w:t>
      </w:r>
    </w:p>
    <w:p w14:paraId="0E3B37FD" w14:textId="77777777" w:rsidR="002300BE" w:rsidRDefault="002300BE"/>
    <w:p w14:paraId="5AA5C960" w14:textId="77777777" w:rsidR="0013590D" w:rsidRDefault="0013590D">
      <w:pPr>
        <w:rPr>
          <w:b/>
          <w:bCs/>
          <w:color w:val="002856"/>
          <w:sz w:val="28"/>
          <w:szCs w:val="28"/>
        </w:rPr>
      </w:pPr>
      <w:r>
        <w:br w:type="page"/>
      </w:r>
    </w:p>
    <w:p w14:paraId="2F2A7A4F" w14:textId="0603CB95" w:rsidR="00E14F13" w:rsidRDefault="2237E80C" w:rsidP="3A209900">
      <w:pPr>
        <w:pStyle w:val="Heading1"/>
        <w:rPr>
          <w:rStyle w:val="FootnoteReference"/>
        </w:rPr>
      </w:pPr>
      <w:bookmarkStart w:id="29" w:name="_Toc237262955"/>
      <w:r>
        <w:lastRenderedPageBreak/>
        <w:t>Shipping requirements</w:t>
      </w:r>
      <w:r w:rsidR="792E670E">
        <w:t>, documentation</w:t>
      </w:r>
      <w:r>
        <w:t xml:space="preserve"> and</w:t>
      </w:r>
      <w:r w:rsidR="298E1B65">
        <w:t xml:space="preserve"> specific</w:t>
      </w:r>
      <w:r>
        <w:t xml:space="preserve"> EUDR TARIC codes</w:t>
      </w:r>
      <w:bookmarkEnd w:id="29"/>
    </w:p>
    <w:p w14:paraId="2D3903A6" w14:textId="509015B9" w:rsidR="3A209900" w:rsidRDefault="3A209900" w:rsidP="3A209900"/>
    <w:p w14:paraId="73D46E09" w14:textId="5EB39308" w:rsidR="0A38E9CE" w:rsidRDefault="0A38E9CE" w:rsidP="3A209900">
      <w:r>
        <w:t xml:space="preserve">On page </w:t>
      </w:r>
      <w:r w:rsidR="00761B20">
        <w:t>5</w:t>
      </w:r>
      <w:r>
        <w:t xml:space="preserve"> of this document is an </w:t>
      </w:r>
      <w:r w:rsidRPr="004B3464">
        <w:t>explanation o</w:t>
      </w:r>
      <w:r w:rsidR="00AF3D67" w:rsidRPr="004B3464">
        <w:t>f</w:t>
      </w:r>
      <w:r w:rsidRPr="004B3464">
        <w:t xml:space="preserve"> how</w:t>
      </w:r>
      <w:r>
        <w:t xml:space="preserve"> to apply for EORI numbers. </w:t>
      </w:r>
      <w:r w:rsidR="74A98E94">
        <w:t>But what are EORI numbers and how are they used?</w:t>
      </w:r>
    </w:p>
    <w:p w14:paraId="65DAF72F" w14:textId="2B82C3C2" w:rsidR="3A209900" w:rsidRDefault="3A209900" w:rsidP="3A209900"/>
    <w:p w14:paraId="39198100" w14:textId="3F856EAA" w:rsidR="74A98E94" w:rsidRDefault="21068B39" w:rsidP="3A209900">
      <w:pPr>
        <w:pStyle w:val="Heading2"/>
      </w:pPr>
      <w:bookmarkStart w:id="30" w:name="_Toc237262956"/>
      <w:r w:rsidRPr="337696F5">
        <w:t>EORI (Economic Operators Registration and Identification) number:</w:t>
      </w:r>
      <w:bookmarkEnd w:id="30"/>
    </w:p>
    <w:p w14:paraId="1B84D5F5" w14:textId="682078B2" w:rsidR="3A209900" w:rsidRDefault="3A209900" w:rsidP="3A209900"/>
    <w:p w14:paraId="039B5C8C" w14:textId="6CDE638B" w:rsidR="74A98E94" w:rsidRDefault="74A98E94" w:rsidP="3A209900">
      <w:r w:rsidRPr="3A209900">
        <w:t xml:space="preserve">This unique identifier is used by customs authorities in the UK and EU when businesses or individuals interact with customs for import and export activities. </w:t>
      </w:r>
      <w:r w:rsidR="6A44155A" w:rsidRPr="3A209900">
        <w:t>EORI numbers are specific to the EU and trading with the EU.</w:t>
      </w:r>
    </w:p>
    <w:p w14:paraId="520C2E30" w14:textId="0BB524EB" w:rsidR="3A209900" w:rsidRDefault="3A209900" w:rsidP="3A209900"/>
    <w:p w14:paraId="3430D6B9" w14:textId="4B9050A8" w:rsidR="74A98E94" w:rsidRDefault="21068B39" w:rsidP="3A209900">
      <w:pPr>
        <w:pStyle w:val="Heading2"/>
      </w:pPr>
      <w:bookmarkStart w:id="31" w:name="_Toc237262957"/>
      <w:r w:rsidRPr="337696F5">
        <w:t>Personal use exception:</w:t>
      </w:r>
      <w:bookmarkEnd w:id="31"/>
    </w:p>
    <w:p w14:paraId="0954D3EB" w14:textId="48287F5B" w:rsidR="3A209900" w:rsidRDefault="3A209900" w:rsidP="3A209900"/>
    <w:p w14:paraId="14AEC934" w14:textId="346E6C6A" w:rsidR="74A98E94" w:rsidRDefault="74A98E94" w:rsidP="3A209900">
      <w:r w:rsidRPr="3A209900">
        <w:t xml:space="preserve">If you are sending or receiving goods for your own personal use (e.g., gifts, personal belongings), and not for commercial or business purposes, you generally don't need an EORI number. </w:t>
      </w:r>
    </w:p>
    <w:p w14:paraId="7DC3727F" w14:textId="524F2817" w:rsidR="3A209900" w:rsidRDefault="3A209900" w:rsidP="3A209900"/>
    <w:p w14:paraId="5DB749AF" w14:textId="14AD0C3C" w:rsidR="74A98E94" w:rsidRDefault="21068B39" w:rsidP="3A209900">
      <w:pPr>
        <w:pStyle w:val="Heading2"/>
      </w:pPr>
      <w:bookmarkStart w:id="32" w:name="_Toc237262958"/>
      <w:r w:rsidRPr="337696F5">
        <w:t>When you might need an EORI:</w:t>
      </w:r>
      <w:bookmarkEnd w:id="32"/>
    </w:p>
    <w:p w14:paraId="0BEEBB08" w14:textId="4347FFD6" w:rsidR="3A209900" w:rsidRDefault="3A209900" w:rsidP="3A209900"/>
    <w:p w14:paraId="53B03239" w14:textId="4389B110" w:rsidR="74A98E94" w:rsidRDefault="74A98E94" w:rsidP="3A209900">
      <w:r w:rsidRPr="3A209900">
        <w:t xml:space="preserve">You would need an EORI number if you are a business or individual involved in international trade activities such as importing or exporting goods for commercial purposes, or if you are required by customs authorities. </w:t>
      </w:r>
    </w:p>
    <w:p w14:paraId="6AA8B784" w14:textId="6C3DF97A" w:rsidR="3A209900" w:rsidRDefault="3A209900" w:rsidP="3A209900"/>
    <w:p w14:paraId="0858619E" w14:textId="3FE77EA8" w:rsidR="74A98E94" w:rsidRDefault="21068B39" w:rsidP="3A209900">
      <w:pPr>
        <w:pStyle w:val="Heading2"/>
      </w:pPr>
      <w:bookmarkStart w:id="33" w:name="_Toc237262959"/>
      <w:r w:rsidRPr="337696F5">
        <w:t>Example:</w:t>
      </w:r>
      <w:bookmarkEnd w:id="33"/>
    </w:p>
    <w:p w14:paraId="14342072" w14:textId="412E67DD" w:rsidR="74A98E94" w:rsidRDefault="74A98E94" w:rsidP="3A209900">
      <w:r w:rsidRPr="3A209900">
        <w:t>If you are sending a birthday gift to a friend in another country, you likely don't need an EORI number. However, if you are importing goods for your business from another country, you would need an EORI number.</w:t>
      </w:r>
    </w:p>
    <w:p w14:paraId="2C00F793" w14:textId="7015ADBF" w:rsidR="3A209900" w:rsidRDefault="3A209900" w:rsidP="3A209900"/>
    <w:p w14:paraId="231B9E34" w14:textId="07AA7E9E" w:rsidR="002843A6" w:rsidRDefault="002843A6" w:rsidP="00D17099">
      <w:pPr>
        <w:pStyle w:val="Heading2"/>
      </w:pPr>
      <w:bookmarkStart w:id="34" w:name="_Toc237262960"/>
      <w:r>
        <w:t>EUDR specific TARIC codes</w:t>
      </w:r>
      <w:bookmarkEnd w:id="34"/>
    </w:p>
    <w:p w14:paraId="36E181CD" w14:textId="5BEE3EAC" w:rsidR="4B280C42" w:rsidRDefault="4B280C42" w:rsidP="3A209900">
      <w:r>
        <w:t xml:space="preserve">There </w:t>
      </w:r>
      <w:r w:rsidR="0C93243B">
        <w:t>is</w:t>
      </w:r>
      <w:r>
        <w:t xml:space="preserve"> also</w:t>
      </w:r>
      <w:r w:rsidR="30F833C8">
        <w:t xml:space="preserve"> the </w:t>
      </w:r>
      <w:r>
        <w:t xml:space="preserve">TARIC Code (Integrated Tariff of the European </w:t>
      </w:r>
      <w:r w:rsidRPr="004B3464">
        <w:t xml:space="preserve">Communities) </w:t>
      </w:r>
      <w:r w:rsidR="0007109C" w:rsidRPr="004B3464">
        <w:t xml:space="preserve">which </w:t>
      </w:r>
      <w:r w:rsidRPr="004B3464">
        <w:t xml:space="preserve">is the </w:t>
      </w:r>
      <w:r>
        <w:t>nomenclature of the integrated tariff in the E</w:t>
      </w:r>
      <w:r w:rsidR="18BE29F1">
        <w:t>U</w:t>
      </w:r>
      <w:r>
        <w:t xml:space="preserve">. It is a type of code that helps to </w:t>
      </w:r>
      <w:r w:rsidRPr="3A209900">
        <w:t>identify the nature of the goods shipped and is only used within the EU.</w:t>
      </w:r>
      <w:r w:rsidR="00EB2B10">
        <w:t xml:space="preserve"> TARIC codes are the EU’s version of the UK commodity codes and are required for shipping goods into the EU. </w:t>
      </w:r>
      <w:r w:rsidR="0022752F">
        <w:t>These codes are known by the shippers and used by them when creating the shipping and customs documentation.</w:t>
      </w:r>
      <w:r w:rsidR="0B0B991E" w:rsidRPr="3A209900">
        <w:t xml:space="preserve"> These codes are 10 digits </w:t>
      </w:r>
      <w:r w:rsidR="79406CDD" w:rsidRPr="3A209900">
        <w:t>and would look like this for product with a DDS</w:t>
      </w:r>
      <w:r w:rsidR="007959C7">
        <w:t>:</w:t>
      </w:r>
      <w:r w:rsidR="79406CDD" w:rsidRPr="3A209900">
        <w:t xml:space="preserve"> 4901 00 00 00.</w:t>
      </w:r>
    </w:p>
    <w:p w14:paraId="5F0BFFB1" w14:textId="75B16B6B" w:rsidR="3A209900" w:rsidRDefault="3A209900" w:rsidP="3A209900"/>
    <w:p w14:paraId="5E30EE71" w14:textId="44C4F266" w:rsidR="7D5F5BF4" w:rsidRDefault="0B947D89" w:rsidP="3A209900">
      <w:pPr>
        <w:rPr>
          <w:lang w:val="en-IE"/>
        </w:rPr>
      </w:pPr>
      <w:r w:rsidRPr="337696F5">
        <w:t xml:space="preserve">The EU has now created a new set of </w:t>
      </w:r>
      <w:r w:rsidRPr="337696F5">
        <w:rPr>
          <w:lang w:val="en-IE"/>
        </w:rPr>
        <w:t xml:space="preserve">extra codes to the normal </w:t>
      </w:r>
      <w:r w:rsidRPr="004B3464">
        <w:t>TARIC code for the specific purpose of managing EUDR</w:t>
      </w:r>
      <w:r w:rsidR="343E8DEE" w:rsidRPr="004B3464">
        <w:t xml:space="preserve"> that will work for both importing and exporting products</w:t>
      </w:r>
      <w:r w:rsidR="009110DA" w:rsidRPr="004B3464">
        <w:t xml:space="preserve"> and will show if a DDS is required or the product is exempt for a specific reason. </w:t>
      </w:r>
      <w:r w:rsidR="7D5F5BF4" w:rsidRPr="004B3464">
        <w:t>T</w:t>
      </w:r>
      <w:r w:rsidR="7D5F5BF4" w:rsidRPr="3A209900">
        <w:rPr>
          <w:lang w:val="en-IE"/>
        </w:rPr>
        <w:t xml:space="preserve">he following information has been taken directly from the </w:t>
      </w:r>
      <w:hyperlink r:id="rId30">
        <w:r w:rsidR="7D5F5BF4" w:rsidRPr="3A209900">
          <w:rPr>
            <w:rStyle w:val="Hyperlink"/>
            <w:lang w:val="en-IE"/>
          </w:rPr>
          <w:t>TARIC data created for Regulation (EU) 2023/1115 on deforestation and forest degradation</w:t>
        </w:r>
      </w:hyperlink>
      <w:r w:rsidR="7D5F5BF4" w:rsidRPr="3A209900">
        <w:rPr>
          <w:i/>
          <w:iCs/>
          <w:lang w:val="en-IE"/>
        </w:rPr>
        <w:t xml:space="preserve"> </w:t>
      </w:r>
      <w:r w:rsidR="4535EA3F" w:rsidRPr="3A209900">
        <w:rPr>
          <w:lang w:val="en-IE"/>
        </w:rPr>
        <w:t>document</w:t>
      </w:r>
      <w:r w:rsidR="009110DA">
        <w:rPr>
          <w:lang w:val="en-IE"/>
        </w:rPr>
        <w:t>:</w:t>
      </w:r>
    </w:p>
    <w:p w14:paraId="0AD5339F" w14:textId="0FF8BAAE" w:rsidR="3A209900" w:rsidRDefault="3A209900" w:rsidP="3A209900">
      <w:pPr>
        <w:rPr>
          <w:lang w:val="en-IE"/>
        </w:rPr>
      </w:pPr>
    </w:p>
    <w:p w14:paraId="20FD4A2A" w14:textId="5E6949A6" w:rsidR="18AF6053" w:rsidRDefault="18AF6053" w:rsidP="3A209900">
      <w:pPr>
        <w:rPr>
          <w:lang w:val="en-IE"/>
        </w:rPr>
      </w:pPr>
      <w:r w:rsidRPr="3A209900">
        <w:rPr>
          <w:lang w:val="en-IE"/>
        </w:rPr>
        <w:t>The TARIC document codes below are used both for the import and export procedures.</w:t>
      </w:r>
    </w:p>
    <w:p w14:paraId="4CD4A399" w14:textId="0B5458AB" w:rsidR="3A209900" w:rsidRDefault="3A209900" w:rsidP="3A209900">
      <w:pPr>
        <w:rPr>
          <w:lang w:val="en-IE"/>
        </w:rPr>
      </w:pPr>
    </w:p>
    <w:p w14:paraId="1C6CAD9F" w14:textId="48628021" w:rsidR="18AF6053" w:rsidRDefault="18AF6053" w:rsidP="3A209900">
      <w:pPr>
        <w:rPr>
          <w:rFonts w:ascii="Times New Roman" w:eastAsia="Times New Roman" w:hAnsi="Times New Roman" w:cs="Times New Roman"/>
          <w:color w:val="000000" w:themeColor="text1"/>
          <w:sz w:val="24"/>
          <w:szCs w:val="24"/>
        </w:rPr>
      </w:pPr>
      <w:r w:rsidRPr="3A209900">
        <w:rPr>
          <w:lang w:val="en-IE"/>
        </w:rPr>
        <w:t>A new TARIC document code C716 corresponding to the due diligence statement has been created. The declarant must use this code to declare to the national customs authorities that he/she is in possession of the required due diligence statement.</w:t>
      </w:r>
    </w:p>
    <w:p w14:paraId="13BB4CCF" w14:textId="1E0158ED" w:rsidR="3A209900" w:rsidRDefault="3A209900" w:rsidP="3A209900"/>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245"/>
      </w:tblGrid>
      <w:tr w:rsidR="3A209900" w14:paraId="6420C4F5" w14:textId="77777777" w:rsidTr="337696F5">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74F130" w14:textId="3376AC27" w:rsidR="3A209900" w:rsidRDefault="3A209900" w:rsidP="3A209900">
            <w:pPr>
              <w:rPr>
                <w:rFonts w:ascii="Times New Roman" w:eastAsia="Times New Roman" w:hAnsi="Times New Roman" w:cs="Times New Roman"/>
                <w:color w:val="000000" w:themeColor="text1"/>
              </w:rPr>
            </w:pPr>
            <w:r w:rsidRPr="3A209900">
              <w:t>C716</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E4DCF4" w14:textId="3A8CB302" w:rsidR="3A209900" w:rsidRDefault="2775F145" w:rsidP="337696F5">
            <w:pPr>
              <w:rPr>
                <w:rFonts w:ascii="Times New Roman" w:eastAsia="Times New Roman" w:hAnsi="Times New Roman" w:cs="Times New Roman"/>
                <w:color w:val="000000" w:themeColor="text1"/>
              </w:rPr>
            </w:pPr>
            <w:r w:rsidRPr="337696F5">
              <w:t>Due diligence statement, presented for imports/exports in accordance with Article 3 of Regulation (EU) 2023/1115 on deforestation and forest degradation</w:t>
            </w:r>
          </w:p>
        </w:tc>
      </w:tr>
    </w:tbl>
    <w:p w14:paraId="3105C29D" w14:textId="71F07550"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 </w:t>
      </w:r>
    </w:p>
    <w:p w14:paraId="375D0A66" w14:textId="6C6B0F8B"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A New TARIC document code C717 </w:t>
      </w:r>
      <w:r w:rsidR="00854900">
        <w:rPr>
          <w:lang w:val="en-IE"/>
        </w:rPr>
        <w:t>has been</w:t>
      </w:r>
      <w:r w:rsidR="00854900" w:rsidRPr="3A209900">
        <w:rPr>
          <w:lang w:val="en-IE"/>
        </w:rPr>
        <w:t xml:space="preserve"> </w:t>
      </w:r>
      <w:r w:rsidRPr="3A209900">
        <w:rPr>
          <w:lang w:val="en-IE"/>
        </w:rPr>
        <w:t xml:space="preserve">created, corresponding to the derogation for SME operators as defined in Article 4(8) of the EUDR. C717 is declared in customs by SME operators when </w:t>
      </w:r>
      <w:r w:rsidRPr="3A209900">
        <w:rPr>
          <w:lang w:val="en-IE"/>
        </w:rPr>
        <w:lastRenderedPageBreak/>
        <w:t>they are not required to exercise due diligence for relevant products contained in or made from relevant products that have already been subject to due diligence, and for which a due diligence statement has already been submitted.</w:t>
      </w:r>
    </w:p>
    <w:p w14:paraId="06CF92F5" w14:textId="21BAF60E" w:rsidR="3A209900" w:rsidRDefault="3A209900" w:rsidP="3A209900">
      <w:pPr>
        <w:rPr>
          <w:lang w:val="en-IE"/>
        </w:rPr>
      </w:pPr>
    </w:p>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245"/>
      </w:tblGrid>
      <w:tr w:rsidR="3A209900" w14:paraId="759B1854" w14:textId="77777777" w:rsidTr="3A209900">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B8194F" w14:textId="509FBC3F" w:rsidR="3A209900" w:rsidRDefault="3A209900" w:rsidP="3A209900">
            <w:pPr>
              <w:rPr>
                <w:rFonts w:ascii="Times New Roman" w:eastAsia="Times New Roman" w:hAnsi="Times New Roman" w:cs="Times New Roman"/>
              </w:rPr>
            </w:pPr>
            <w:r w:rsidRPr="3A209900">
              <w:t>C717</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E72BDF" w14:textId="4C4BF611" w:rsidR="3A209900" w:rsidRDefault="3A209900" w:rsidP="3A209900">
            <w:pPr>
              <w:rPr>
                <w:rFonts w:ascii="Times New Roman" w:eastAsia="Times New Roman" w:hAnsi="Times New Roman" w:cs="Times New Roman"/>
              </w:rPr>
            </w:pPr>
            <w:r w:rsidRPr="3A209900">
              <w:t>Reference number of due diligence statement previously submitted, in accordance with Article 4.8 of Regulation (EU) 2023/1115</w:t>
            </w:r>
          </w:p>
        </w:tc>
      </w:tr>
    </w:tbl>
    <w:p w14:paraId="50BEBA4B" w14:textId="2998FE9C" w:rsidR="3A209900" w:rsidRDefault="3A209900" w:rsidP="3A209900"/>
    <w:p w14:paraId="5584B2AA" w14:textId="1245AE05" w:rsidR="18AF6053" w:rsidRDefault="18AF6053" w:rsidP="3A209900">
      <w:pPr>
        <w:rPr>
          <w:rFonts w:ascii="Times New Roman" w:eastAsia="Times New Roman" w:hAnsi="Times New Roman" w:cs="Times New Roman"/>
          <w:color w:val="000000" w:themeColor="text1"/>
          <w:sz w:val="24"/>
          <w:szCs w:val="24"/>
        </w:rPr>
      </w:pPr>
      <w:r w:rsidRPr="3A209900">
        <w:rPr>
          <w:lang w:val="en-IE"/>
        </w:rPr>
        <w:t>A new TARIC document code Y129 has been created to cover the "ex" codes in Annex I of the EUDR. This corresponds to the declaration of a nomenclature code that covers more products than those falling within the scope of the EUDR. In such case, the declarant must have the possibility to state that the import is not concerned by the regulation, although the declared product is classified under a nomenclature code impacted by the EUDR.</w:t>
      </w:r>
    </w:p>
    <w:p w14:paraId="6F736256" w14:textId="69FC71DF" w:rsidR="3A209900" w:rsidRDefault="3A209900" w:rsidP="3A209900">
      <w:pPr>
        <w:rPr>
          <w:lang w:val="en-IE"/>
        </w:rPr>
      </w:pPr>
    </w:p>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245"/>
      </w:tblGrid>
      <w:tr w:rsidR="3A209900" w14:paraId="08B97BFB" w14:textId="77777777" w:rsidTr="3A209900">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F49642" w14:textId="1A77916C" w:rsidR="3A209900" w:rsidRDefault="3A209900" w:rsidP="3A209900">
            <w:pPr>
              <w:rPr>
                <w:rFonts w:ascii="Times New Roman" w:eastAsia="Times New Roman" w:hAnsi="Times New Roman" w:cs="Times New Roman"/>
                <w:color w:val="000000" w:themeColor="text1"/>
              </w:rPr>
            </w:pPr>
            <w:r w:rsidRPr="3A209900">
              <w:t>Y129</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D351D1" w14:textId="677A2875" w:rsidR="3A209900" w:rsidRDefault="3A209900" w:rsidP="3A209900">
            <w:pPr>
              <w:rPr>
                <w:rFonts w:ascii="Times New Roman" w:eastAsia="Times New Roman" w:hAnsi="Times New Roman" w:cs="Times New Roman"/>
                <w:color w:val="000000" w:themeColor="text1"/>
              </w:rPr>
            </w:pPr>
            <w:r w:rsidRPr="3A209900">
              <w:t xml:space="preserve">Goods other than those falling under the provisions of Regulation (EU) 2023/1115 on deforestation and forest degradation. </w:t>
            </w:r>
          </w:p>
        </w:tc>
      </w:tr>
    </w:tbl>
    <w:p w14:paraId="75C9D32B" w14:textId="637CD9DF"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 </w:t>
      </w:r>
    </w:p>
    <w:p w14:paraId="40712751" w14:textId="75C37271"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A new TARIC document code Y132 has been created to cover Article 1.2 of the EUDR where it is stated that the Regulation does not apply to the relevant products listed in Annex I produced before the date indicated in Article 38(1). </w:t>
      </w:r>
    </w:p>
    <w:p w14:paraId="47C69E2E" w14:textId="12E78A41" w:rsidR="3A209900" w:rsidRDefault="3A209900" w:rsidP="3A209900">
      <w:pPr>
        <w:rPr>
          <w:lang w:val="en-IE"/>
        </w:rPr>
      </w:pPr>
    </w:p>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245"/>
      </w:tblGrid>
      <w:tr w:rsidR="3A209900" w14:paraId="41E17B8F" w14:textId="77777777" w:rsidTr="3A209900">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A5FE33" w14:textId="3E43DDF1" w:rsidR="3A209900" w:rsidRDefault="3A209900" w:rsidP="3A209900">
            <w:pPr>
              <w:rPr>
                <w:rFonts w:ascii="Times New Roman" w:eastAsia="Times New Roman" w:hAnsi="Times New Roman" w:cs="Times New Roman"/>
                <w:color w:val="000000" w:themeColor="text1"/>
              </w:rPr>
            </w:pPr>
            <w:r w:rsidRPr="3A209900">
              <w:t>Y132</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526D26" w14:textId="478F89F0" w:rsidR="3A209900" w:rsidRDefault="3A209900" w:rsidP="3A209900">
            <w:pPr>
              <w:rPr>
                <w:rFonts w:ascii="Times New Roman" w:eastAsia="Times New Roman" w:hAnsi="Times New Roman" w:cs="Times New Roman"/>
                <w:color w:val="000000" w:themeColor="text1"/>
              </w:rPr>
            </w:pPr>
            <w:r w:rsidRPr="3A209900">
              <w:t xml:space="preserve">Exemption from the provisions of Regulation (EU) 2023/1115 on deforestation and forest degradation by virtue of paragraph 2 of Article 1. </w:t>
            </w:r>
          </w:p>
        </w:tc>
      </w:tr>
    </w:tbl>
    <w:p w14:paraId="4E23BD07" w14:textId="3774F560"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 </w:t>
      </w:r>
    </w:p>
    <w:p w14:paraId="18A333E8" w14:textId="2F731B1B"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A new TARIC document code Y133 has been created to cover the exemption defined in the second explanatory paragraph in Annex I, stipulating that the regulation does not apply to goods if they are produced entirely from material that has completed its lifecycle and would otherwise have been discarded as waste as defined in Article 3, point (1) of Directive 2008/98/EC. </w:t>
      </w:r>
    </w:p>
    <w:p w14:paraId="195CB7A5" w14:textId="3031B773" w:rsidR="3A209900" w:rsidRDefault="3A209900" w:rsidP="3A209900">
      <w:pPr>
        <w:rPr>
          <w:lang w:val="en-IE"/>
        </w:rPr>
      </w:pPr>
    </w:p>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245"/>
      </w:tblGrid>
      <w:tr w:rsidR="3A209900" w14:paraId="06C8D92C" w14:textId="77777777" w:rsidTr="3A209900">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817C26" w14:textId="67017617" w:rsidR="3A209900" w:rsidRDefault="3A209900" w:rsidP="3A209900">
            <w:pPr>
              <w:rPr>
                <w:rFonts w:ascii="Times New Roman" w:eastAsia="Times New Roman" w:hAnsi="Times New Roman" w:cs="Times New Roman"/>
                <w:color w:val="000000" w:themeColor="text1"/>
              </w:rPr>
            </w:pPr>
            <w:r w:rsidRPr="3A209900">
              <w:t>Y133</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FBEBA7" w14:textId="6E2FB57F" w:rsidR="3A209900" w:rsidRDefault="3A209900" w:rsidP="3A209900">
            <w:pPr>
              <w:rPr>
                <w:rFonts w:ascii="Times New Roman" w:eastAsia="Times New Roman" w:hAnsi="Times New Roman" w:cs="Times New Roman"/>
                <w:color w:val="000000" w:themeColor="text1"/>
              </w:rPr>
            </w:pPr>
            <w:r w:rsidRPr="3A209900">
              <w:t>Exemption from the provisions of Regulation (EU) 2023/1115 on deforestation and forest degradation by virtue of the second explanatory paragraph of Annex I (goods produced from material that has completed its lifecycle)</w:t>
            </w:r>
          </w:p>
        </w:tc>
      </w:tr>
    </w:tbl>
    <w:p w14:paraId="5FE108B7" w14:textId="1BC3F6A2" w:rsidR="3A209900" w:rsidRDefault="3A209900" w:rsidP="3A209900"/>
    <w:p w14:paraId="49BCBFEC" w14:textId="12B0622A"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A new TARIC document code Y141 has been created to cover the exemption defined in Article 38(3) for operators that, by 31 December 2020, were established as micro-undertakings or small undertakings pursuant to Article 3(1) or (2) of Directive 2013/34/EU. For these operators, the provisions from Article 38(2) shall apply as from 30 June 2025. This means that this TARIC document code will be declarable in customs only until 29 June 2025.  </w:t>
      </w:r>
    </w:p>
    <w:p w14:paraId="4883F275" w14:textId="6F512A2D" w:rsidR="3A209900" w:rsidRDefault="3A209900" w:rsidP="3A209900">
      <w:pPr>
        <w:rPr>
          <w:lang w:val="en-IE"/>
        </w:rPr>
      </w:pPr>
    </w:p>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245"/>
      </w:tblGrid>
      <w:tr w:rsidR="3A209900" w14:paraId="0AEDA92F" w14:textId="77777777" w:rsidTr="3A209900">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707462" w14:textId="4B7E8F76" w:rsidR="3A209900" w:rsidRDefault="3A209900" w:rsidP="3A209900">
            <w:pPr>
              <w:rPr>
                <w:rFonts w:ascii="Times New Roman" w:eastAsia="Times New Roman" w:hAnsi="Times New Roman" w:cs="Times New Roman"/>
                <w:color w:val="000000" w:themeColor="text1"/>
              </w:rPr>
            </w:pPr>
            <w:r w:rsidRPr="3A209900">
              <w:t>Y141</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5A089A" w14:textId="2D7E848B" w:rsidR="3A209900" w:rsidRDefault="3A209900" w:rsidP="3A209900">
            <w:pPr>
              <w:rPr>
                <w:rFonts w:ascii="Times New Roman" w:eastAsia="Times New Roman" w:hAnsi="Times New Roman" w:cs="Times New Roman"/>
                <w:color w:val="000000" w:themeColor="text1"/>
              </w:rPr>
            </w:pPr>
            <w:r w:rsidRPr="3A209900">
              <w:t>Exemption for operators, as defined in Article 38(3) of Regulation (EU) 2023/1115</w:t>
            </w:r>
          </w:p>
        </w:tc>
      </w:tr>
    </w:tbl>
    <w:p w14:paraId="56BEAF1C" w14:textId="276B2EB8" w:rsidR="3A209900" w:rsidRDefault="3A209900" w:rsidP="3A209900"/>
    <w:p w14:paraId="14F865E8" w14:textId="4A76FDDE" w:rsidR="18AF6053" w:rsidRDefault="18AF6053" w:rsidP="3A209900">
      <w:pPr>
        <w:rPr>
          <w:rFonts w:ascii="Times New Roman" w:eastAsia="Times New Roman" w:hAnsi="Times New Roman" w:cs="Times New Roman"/>
          <w:color w:val="000000" w:themeColor="text1"/>
          <w:sz w:val="24"/>
          <w:szCs w:val="24"/>
        </w:rPr>
      </w:pPr>
      <w:r w:rsidRPr="3A209900">
        <w:rPr>
          <w:lang w:val="en-IE"/>
        </w:rPr>
        <w:t xml:space="preserve">A new TARIC document code Y142 has been created declarations made in the context of a non-commercial activity (Article 2 (15), 2(17) and 2(18) of Regulation (EU) 2023/1115) where this Regulation does not apply. </w:t>
      </w:r>
    </w:p>
    <w:p w14:paraId="78E5514C" w14:textId="09C5B297" w:rsidR="3A209900" w:rsidRDefault="3A209900" w:rsidP="3A209900">
      <w:pPr>
        <w:rPr>
          <w:lang w:val="en-IE"/>
        </w:rPr>
      </w:pPr>
    </w:p>
    <w:tbl>
      <w:tblPr>
        <w:tblStyle w:val="TableGrid"/>
        <w:tblW w:w="0" w:type="auto"/>
        <w:tblInd w:w="4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7515"/>
      </w:tblGrid>
      <w:tr w:rsidR="3A209900" w14:paraId="41CB6AF0" w14:textId="77777777" w:rsidTr="3A209900">
        <w:trPr>
          <w:trHeight w:val="300"/>
        </w:trPr>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897596" w14:textId="40740C2E" w:rsidR="3A209900" w:rsidRDefault="3A209900" w:rsidP="3A209900">
            <w:pPr>
              <w:rPr>
                <w:rFonts w:ascii="Times New Roman" w:eastAsia="Times New Roman" w:hAnsi="Times New Roman" w:cs="Times New Roman"/>
                <w:color w:val="000000" w:themeColor="text1"/>
              </w:rPr>
            </w:pPr>
            <w:r w:rsidRPr="3A209900">
              <w:t>Y142</w:t>
            </w:r>
          </w:p>
        </w:tc>
        <w:tc>
          <w:tcPr>
            <w:tcW w:w="7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641F60" w14:textId="4D6D43F5" w:rsidR="3A209900" w:rsidRDefault="3A209900" w:rsidP="3A209900">
            <w:pPr>
              <w:rPr>
                <w:rFonts w:ascii="Times New Roman" w:eastAsia="Times New Roman" w:hAnsi="Times New Roman" w:cs="Times New Roman"/>
                <w:color w:val="000000" w:themeColor="text1"/>
              </w:rPr>
            </w:pPr>
            <w:r w:rsidRPr="3A209900">
              <w:t xml:space="preserve">Exemption for non-commercial activity (Article 2 (15), 2(17) and 2(18) of Regulation (EU) 2023/1115). </w:t>
            </w:r>
          </w:p>
        </w:tc>
      </w:tr>
    </w:tbl>
    <w:p w14:paraId="3FDE7B24" w14:textId="5DD3115C" w:rsidR="3A209900" w:rsidRDefault="3A209900" w:rsidP="3A209900"/>
    <w:p w14:paraId="02C2B62A" w14:textId="676BDC22" w:rsidR="18AF6053" w:rsidRDefault="18AF6053" w:rsidP="3A209900">
      <w:pPr>
        <w:rPr>
          <w:rFonts w:ascii="Times New Roman" w:eastAsia="Times New Roman" w:hAnsi="Times New Roman" w:cs="Times New Roman"/>
          <w:color w:val="000000" w:themeColor="text1"/>
          <w:sz w:val="24"/>
          <w:szCs w:val="24"/>
        </w:rPr>
      </w:pPr>
      <w:r w:rsidRPr="3A209900">
        <w:rPr>
          <w:lang w:val="en-IE"/>
        </w:rPr>
        <w:t>There is no need to create a specific TARIC document code for the registration as only the registered importers can present a due diligence statement, for which a specific TARIC document code has been created (C716).</w:t>
      </w:r>
    </w:p>
    <w:p w14:paraId="4C5F4ADB" w14:textId="0AECA630" w:rsidR="3A209900" w:rsidRDefault="3A209900" w:rsidP="3A209900">
      <w:pPr>
        <w:rPr>
          <w:lang w:val="en-IE"/>
        </w:rPr>
      </w:pPr>
    </w:p>
    <w:p w14:paraId="3C14C062" w14:textId="2EBCE362" w:rsidR="273AF8E5" w:rsidRDefault="40DDD3F8" w:rsidP="337696F5">
      <w:pPr>
        <w:pStyle w:val="Heading2"/>
        <w:rPr>
          <w:lang w:val="en-IE"/>
        </w:rPr>
      </w:pPr>
      <w:bookmarkStart w:id="35" w:name="_Toc237262961"/>
      <w:r w:rsidRPr="337696F5">
        <w:rPr>
          <w:lang w:val="en-IE"/>
        </w:rPr>
        <w:t>Incoterms relating to EUDR</w:t>
      </w:r>
      <w:bookmarkEnd w:id="35"/>
    </w:p>
    <w:p w14:paraId="4D6E5E72" w14:textId="438150B7" w:rsidR="273AF8E5" w:rsidRDefault="273AF8E5" w:rsidP="337696F5">
      <w:pPr>
        <w:rPr>
          <w:lang w:val="en-IE"/>
        </w:rPr>
      </w:pPr>
    </w:p>
    <w:p w14:paraId="75F2D2DD" w14:textId="41E9068D" w:rsidR="273AF8E5" w:rsidRDefault="40DDD3F8" w:rsidP="337696F5">
      <w:pPr>
        <w:rPr>
          <w:rFonts w:ascii="Aptos" w:eastAsia="Aptos" w:hAnsi="Aptos" w:cs="Aptos"/>
          <w:color w:val="000000" w:themeColor="text1"/>
          <w:lang w:val="en-IE"/>
        </w:rPr>
      </w:pPr>
      <w:r w:rsidRPr="337696F5">
        <w:rPr>
          <w:lang w:val="en-IE"/>
        </w:rPr>
        <w:t>Under EUDR it is the EU customer or</w:t>
      </w:r>
      <w:r w:rsidR="00311E3C">
        <w:rPr>
          <w:lang w:val="en-IE"/>
        </w:rPr>
        <w:t xml:space="preserve"> EU</w:t>
      </w:r>
      <w:r w:rsidRPr="337696F5">
        <w:rPr>
          <w:lang w:val="en-IE"/>
        </w:rPr>
        <w:t xml:space="preserve"> importer</w:t>
      </w:r>
      <w:r w:rsidR="00311E3C">
        <w:rPr>
          <w:lang w:val="en-IE"/>
        </w:rPr>
        <w:t xml:space="preserve"> of record</w:t>
      </w:r>
      <w:r w:rsidRPr="337696F5">
        <w:rPr>
          <w:lang w:val="en-IE"/>
        </w:rPr>
        <w:t xml:space="preserve"> who needs to create the DDS so that </w:t>
      </w:r>
      <w:r w:rsidR="2975BD52" w:rsidRPr="337696F5">
        <w:rPr>
          <w:lang w:val="en-IE"/>
        </w:rPr>
        <w:t>product</w:t>
      </w:r>
      <w:r w:rsidRPr="337696F5">
        <w:rPr>
          <w:lang w:val="en-IE"/>
        </w:rPr>
        <w:t xml:space="preserve">s can be imported into the </w:t>
      </w:r>
      <w:r w:rsidR="50C763CA" w:rsidRPr="337696F5">
        <w:rPr>
          <w:lang w:val="en-IE"/>
        </w:rPr>
        <w:t>eurozone</w:t>
      </w:r>
      <w:r w:rsidRPr="337696F5">
        <w:rPr>
          <w:lang w:val="en-IE"/>
        </w:rPr>
        <w:t xml:space="preserve">. </w:t>
      </w:r>
      <w:r w:rsidR="00C20969">
        <w:rPr>
          <w:lang w:val="en-IE"/>
        </w:rPr>
        <w:t>Even if a Non-EU Operator has created a DDS so the products</w:t>
      </w:r>
      <w:r w:rsidR="00462E73">
        <w:rPr>
          <w:lang w:val="en-IE"/>
        </w:rPr>
        <w:t xml:space="preserve"> can be shipped into the EU</w:t>
      </w:r>
      <w:r w:rsidR="00803B5D">
        <w:rPr>
          <w:lang w:val="en-IE"/>
        </w:rPr>
        <w:t>,</w:t>
      </w:r>
      <w:r w:rsidR="00462E73">
        <w:rPr>
          <w:lang w:val="en-IE"/>
        </w:rPr>
        <w:t xml:space="preserve"> the EU customer or EU </w:t>
      </w:r>
      <w:r w:rsidR="00803B5D">
        <w:rPr>
          <w:lang w:val="en-IE"/>
        </w:rPr>
        <w:t xml:space="preserve">importer of record are still required to create a DDS. </w:t>
      </w:r>
      <w:r w:rsidR="2F83B4D4" w:rsidRPr="337696F5">
        <w:rPr>
          <w:lang w:val="en-IE"/>
        </w:rPr>
        <w:t>When shipping globally</w:t>
      </w:r>
      <w:r w:rsidR="00E043DC">
        <w:rPr>
          <w:lang w:val="en-IE"/>
        </w:rPr>
        <w:t>,</w:t>
      </w:r>
      <w:r w:rsidR="2F83B4D4" w:rsidRPr="337696F5">
        <w:rPr>
          <w:lang w:val="en-IE"/>
        </w:rPr>
        <w:t xml:space="preserve"> freight moves around the world under various incoterms. Incoterms are</w:t>
      </w:r>
      <w:r w:rsidR="0CC17378" w:rsidRPr="337696F5">
        <w:rPr>
          <w:lang w:val="en-IE"/>
        </w:rPr>
        <w:t xml:space="preserve"> the standard contract terms used in importing/exporting</w:t>
      </w:r>
      <w:r w:rsidR="2F83B4D4" w:rsidRPr="337696F5">
        <w:rPr>
          <w:lang w:val="en-IE"/>
        </w:rPr>
        <w:t xml:space="preserve"> </w:t>
      </w:r>
      <w:r w:rsidR="37FB23DF" w:rsidRPr="337696F5">
        <w:rPr>
          <w:lang w:val="en-IE"/>
        </w:rPr>
        <w:t>goods. If you are shipping goods, knowing your incoterms is essential to understanding who is responsible for what in your supply chain</w:t>
      </w:r>
      <w:r w:rsidR="00BA770B">
        <w:rPr>
          <w:lang w:val="en-IE"/>
        </w:rPr>
        <w:t xml:space="preserve">; </w:t>
      </w:r>
      <w:r w:rsidR="00BA770B" w:rsidRPr="004B3464">
        <w:rPr>
          <w:lang w:val="en-IE"/>
        </w:rPr>
        <w:t>for more information:</w:t>
      </w:r>
      <w:r w:rsidR="00330B1A">
        <w:rPr>
          <w:lang w:val="en-IE"/>
        </w:rPr>
        <w:t xml:space="preserve"> </w:t>
      </w:r>
      <w:hyperlink r:id="rId31" w:history="1">
        <w:r w:rsidR="00D20615" w:rsidRPr="00567E61">
          <w:rPr>
            <w:rStyle w:val="Hyperlink"/>
          </w:rPr>
          <w:t>Incoterms</w:t>
        </w:r>
      </w:hyperlink>
      <w:r w:rsidR="669475D3" w:rsidRPr="337696F5">
        <w:rPr>
          <w:lang w:val="en-IE"/>
        </w:rPr>
        <w:t>.</w:t>
      </w:r>
      <w:r w:rsidR="3E1D18BE" w:rsidRPr="337696F5">
        <w:rPr>
          <w:lang w:val="en-IE"/>
        </w:rPr>
        <w:t xml:space="preserve"> </w:t>
      </w:r>
      <w:r w:rsidR="669475D3" w:rsidRPr="337696F5">
        <w:rPr>
          <w:lang w:val="en-IE"/>
        </w:rPr>
        <w:t>This is important to understand as if goods are being imported into the eurozone under the term DDP</w:t>
      </w:r>
      <w:r w:rsidR="00414962">
        <w:rPr>
          <w:lang w:val="en-IE"/>
        </w:rPr>
        <w:t xml:space="preserve"> (for example)</w:t>
      </w:r>
      <w:r w:rsidR="001D2BE1">
        <w:rPr>
          <w:lang w:val="en-IE"/>
        </w:rPr>
        <w:t>:</w:t>
      </w:r>
    </w:p>
    <w:p w14:paraId="229BC2B8" w14:textId="5423E8A2" w:rsidR="273AF8E5" w:rsidRDefault="273AF8E5" w:rsidP="337696F5">
      <w:pPr>
        <w:rPr>
          <w:lang w:val="en-IE"/>
        </w:rPr>
      </w:pPr>
    </w:p>
    <w:p w14:paraId="7081379D" w14:textId="6938F468" w:rsidR="273AF8E5" w:rsidRDefault="14B97C8D" w:rsidP="337696F5">
      <w:pPr>
        <w:pStyle w:val="ListParagraph"/>
        <w:numPr>
          <w:ilvl w:val="0"/>
          <w:numId w:val="1"/>
        </w:numPr>
        <w:rPr>
          <w:rFonts w:ascii="Aptos" w:eastAsia="Aptos" w:hAnsi="Aptos" w:cs="Aptos"/>
          <w:color w:val="000000" w:themeColor="text1"/>
          <w:lang w:val="en-IE"/>
        </w:rPr>
      </w:pPr>
      <w:r w:rsidRPr="337696F5">
        <w:rPr>
          <w:rFonts w:ascii="Aptos" w:eastAsia="Aptos" w:hAnsi="Aptos" w:cs="Aptos"/>
          <w:b/>
          <w:bCs/>
          <w:color w:val="000000" w:themeColor="text1"/>
          <w:sz w:val="24"/>
          <w:szCs w:val="24"/>
          <w:lang w:val="en-IE"/>
        </w:rPr>
        <w:t>DDP – Delivered Duty Paid:</w:t>
      </w:r>
      <w:r w:rsidRPr="337696F5">
        <w:rPr>
          <w:rFonts w:ascii="Aptos" w:eastAsia="Aptos" w:hAnsi="Aptos" w:cs="Aptos"/>
          <w:color w:val="000000" w:themeColor="text1"/>
          <w:sz w:val="24"/>
          <w:szCs w:val="24"/>
          <w:lang w:val="en-IE"/>
        </w:rPr>
        <w:t xml:space="preserve"> The seller</w:t>
      </w:r>
      <w:r w:rsidR="00021182">
        <w:rPr>
          <w:rFonts w:ascii="Aptos" w:eastAsia="Aptos" w:hAnsi="Aptos" w:cs="Aptos"/>
          <w:color w:val="000000" w:themeColor="text1"/>
          <w:sz w:val="24"/>
          <w:szCs w:val="24"/>
          <w:lang w:val="en-IE"/>
        </w:rPr>
        <w:t xml:space="preserve">, in this case the </w:t>
      </w:r>
      <w:r w:rsidR="00242F34">
        <w:rPr>
          <w:rFonts w:ascii="Aptos" w:eastAsia="Aptos" w:hAnsi="Aptos" w:cs="Aptos"/>
          <w:color w:val="000000" w:themeColor="text1"/>
          <w:sz w:val="24"/>
          <w:szCs w:val="24"/>
          <w:lang w:val="en-IE"/>
        </w:rPr>
        <w:t xml:space="preserve">UK </w:t>
      </w:r>
      <w:r w:rsidR="00021182">
        <w:rPr>
          <w:rFonts w:ascii="Aptos" w:eastAsia="Aptos" w:hAnsi="Aptos" w:cs="Aptos"/>
          <w:color w:val="000000" w:themeColor="text1"/>
          <w:sz w:val="24"/>
          <w:szCs w:val="24"/>
          <w:lang w:val="en-IE"/>
        </w:rPr>
        <w:t>distributor,</w:t>
      </w:r>
      <w:r w:rsidRPr="337696F5">
        <w:rPr>
          <w:rFonts w:ascii="Aptos" w:eastAsia="Aptos" w:hAnsi="Aptos" w:cs="Aptos"/>
          <w:color w:val="000000" w:themeColor="text1"/>
          <w:sz w:val="24"/>
          <w:szCs w:val="24"/>
          <w:lang w:val="en-IE"/>
        </w:rPr>
        <w:t xml:space="preserve"> is responsible for entire shipment, including customs clearance and fees, and delivering the goods to the buyer’s premises. This incoterm places the maximum responsibility on the seller.</w:t>
      </w:r>
      <w:r w:rsidR="00A736AF">
        <w:rPr>
          <w:rFonts w:ascii="Aptos" w:eastAsia="Aptos" w:hAnsi="Aptos" w:cs="Aptos"/>
          <w:color w:val="000000" w:themeColor="text1"/>
          <w:sz w:val="24"/>
          <w:szCs w:val="24"/>
          <w:lang w:val="en-IE"/>
        </w:rPr>
        <w:t xml:space="preserve"> Under this</w:t>
      </w:r>
      <w:r w:rsidR="0022785A">
        <w:rPr>
          <w:rFonts w:ascii="Aptos" w:eastAsia="Aptos" w:hAnsi="Aptos" w:cs="Aptos"/>
          <w:color w:val="000000" w:themeColor="text1"/>
          <w:sz w:val="24"/>
          <w:szCs w:val="24"/>
          <w:lang w:val="en-IE"/>
        </w:rPr>
        <w:t xml:space="preserve"> scenario the UK distributor would act as a Non-EU Operator to create an importing DDS, but the EU</w:t>
      </w:r>
      <w:r w:rsidR="0084466D">
        <w:rPr>
          <w:rFonts w:ascii="Aptos" w:eastAsia="Aptos" w:hAnsi="Aptos" w:cs="Aptos"/>
          <w:color w:val="000000" w:themeColor="text1"/>
          <w:sz w:val="24"/>
          <w:szCs w:val="24"/>
          <w:lang w:val="en-IE"/>
        </w:rPr>
        <w:t xml:space="preserve"> First Operator would still have to create a DDS.</w:t>
      </w:r>
    </w:p>
    <w:p w14:paraId="47E663D6" w14:textId="3E1062B2" w:rsidR="273AF8E5" w:rsidRDefault="273AF8E5" w:rsidP="337696F5">
      <w:pPr>
        <w:rPr>
          <w:rFonts w:ascii="Aptos" w:eastAsia="Aptos" w:hAnsi="Aptos" w:cs="Aptos"/>
          <w:color w:val="000000" w:themeColor="text1"/>
          <w:lang w:val="en-IE"/>
        </w:rPr>
      </w:pPr>
    </w:p>
    <w:p w14:paraId="465C1B9E" w14:textId="65AA832D" w:rsidR="273AF8E5" w:rsidRPr="000A2539" w:rsidRDefault="00DF2EBD" w:rsidP="337696F5">
      <w:pPr>
        <w:rPr>
          <w:rFonts w:eastAsia="Aptos" w:cs="Aptos"/>
          <w:color w:val="000000" w:themeColor="text1"/>
          <w:lang w:val="en-IE"/>
        </w:rPr>
      </w:pPr>
      <w:r w:rsidRPr="005940E7">
        <w:rPr>
          <w:rFonts w:eastAsia="Aptos" w:cs="Aptos"/>
          <w:lang w:val="en-IE"/>
        </w:rPr>
        <w:t>In this scenario,</w:t>
      </w:r>
      <w:r w:rsidR="658CEDBC" w:rsidRPr="005940E7">
        <w:rPr>
          <w:rFonts w:eastAsia="Aptos" w:cs="Aptos"/>
          <w:lang w:val="en-IE"/>
        </w:rPr>
        <w:t xml:space="preserve"> the UK organisation using this incoterm is both the exporter and importer to the eurozone. </w:t>
      </w:r>
      <w:r w:rsidR="5E0E5FCB" w:rsidRPr="005940E7">
        <w:rPr>
          <w:rFonts w:eastAsia="Aptos" w:cs="Aptos"/>
          <w:lang w:val="en-IE"/>
        </w:rPr>
        <w:t>Therefore,</w:t>
      </w:r>
      <w:r w:rsidR="658CEDBC" w:rsidRPr="005940E7">
        <w:rPr>
          <w:rFonts w:eastAsia="Aptos" w:cs="Aptos"/>
          <w:lang w:val="en-IE"/>
        </w:rPr>
        <w:t xml:space="preserve"> </w:t>
      </w:r>
      <w:r w:rsidR="658CEDBC" w:rsidRPr="005940E7">
        <w:rPr>
          <w:rFonts w:eastAsia="Aptos" w:cs="Aptos"/>
          <w:i/>
          <w:iCs/>
          <w:lang w:val="en-IE"/>
        </w:rPr>
        <w:t>they are responsible for creati</w:t>
      </w:r>
      <w:r w:rsidR="2FFD180D" w:rsidRPr="005940E7">
        <w:rPr>
          <w:rFonts w:eastAsia="Aptos" w:cs="Aptos"/>
          <w:i/>
          <w:iCs/>
          <w:lang w:val="en-IE"/>
        </w:rPr>
        <w:t>ng the</w:t>
      </w:r>
      <w:r w:rsidR="45BA9E4D" w:rsidRPr="005940E7">
        <w:rPr>
          <w:rFonts w:eastAsia="Aptos" w:cs="Aptos"/>
          <w:i/>
          <w:iCs/>
          <w:lang w:val="en-IE"/>
        </w:rPr>
        <w:t xml:space="preserve"> </w:t>
      </w:r>
      <w:r w:rsidRPr="005940E7">
        <w:rPr>
          <w:rFonts w:eastAsia="Aptos" w:cs="Aptos"/>
          <w:i/>
          <w:iCs/>
          <w:lang w:val="en-IE"/>
        </w:rPr>
        <w:t xml:space="preserve">final </w:t>
      </w:r>
      <w:r w:rsidR="0084466D">
        <w:rPr>
          <w:rFonts w:eastAsia="Aptos" w:cs="Aptos"/>
          <w:i/>
          <w:iCs/>
          <w:lang w:val="en-IE"/>
        </w:rPr>
        <w:t>Chapter 48 product</w:t>
      </w:r>
      <w:r w:rsidR="0084466D" w:rsidRPr="005940E7">
        <w:rPr>
          <w:rFonts w:eastAsia="Aptos" w:cs="Aptos"/>
          <w:i/>
          <w:iCs/>
          <w:lang w:val="en-IE"/>
        </w:rPr>
        <w:t xml:space="preserve"> </w:t>
      </w:r>
      <w:r w:rsidR="2FFD180D" w:rsidRPr="005940E7">
        <w:rPr>
          <w:rFonts w:eastAsia="Aptos" w:cs="Aptos"/>
          <w:i/>
          <w:iCs/>
          <w:lang w:val="en-IE"/>
        </w:rPr>
        <w:t>DDS.</w:t>
      </w:r>
    </w:p>
    <w:p w14:paraId="50DC7E9D" w14:textId="1DA03472" w:rsidR="273AF8E5" w:rsidRDefault="273AF8E5" w:rsidP="337696F5">
      <w:pPr>
        <w:rPr>
          <w:lang w:val="en-IE"/>
        </w:rPr>
      </w:pPr>
    </w:p>
    <w:p w14:paraId="3931F8A4" w14:textId="22594DD0" w:rsidR="273AF8E5" w:rsidRDefault="205261E2" w:rsidP="3A209900">
      <w:pPr>
        <w:pStyle w:val="Heading2"/>
        <w:rPr>
          <w:lang w:val="en-IE"/>
        </w:rPr>
      </w:pPr>
      <w:bookmarkStart w:id="36" w:name="_Toc237262962"/>
      <w:r w:rsidRPr="337696F5">
        <w:rPr>
          <w:lang w:val="en-IE"/>
        </w:rPr>
        <w:t>Customs documentation</w:t>
      </w:r>
      <w:r w:rsidR="68E7CFD9" w:rsidRPr="337696F5">
        <w:rPr>
          <w:lang w:val="en-IE"/>
        </w:rPr>
        <w:t xml:space="preserve"> and how the TARIC codes would be used</w:t>
      </w:r>
      <w:bookmarkEnd w:id="36"/>
    </w:p>
    <w:p w14:paraId="69924539" w14:textId="1A15EE87" w:rsidR="3A209900" w:rsidRDefault="3A209900" w:rsidP="3A209900">
      <w:pPr>
        <w:rPr>
          <w:lang w:val="en-IE"/>
        </w:rPr>
      </w:pPr>
    </w:p>
    <w:p w14:paraId="62FFDFDD" w14:textId="76DA3CA4" w:rsidR="0CA721C2" w:rsidRDefault="671DA549" w:rsidP="3A209900">
      <w:pPr>
        <w:rPr>
          <w:lang w:val="en-IE"/>
        </w:rPr>
      </w:pPr>
      <w:r w:rsidRPr="337696F5">
        <w:rPr>
          <w:lang w:val="en-IE"/>
        </w:rPr>
        <w:t>The following screenshot</w:t>
      </w:r>
      <w:r w:rsidR="001F6A18">
        <w:rPr>
          <w:rStyle w:val="FootnoteReference"/>
          <w:lang w:val="en-IE"/>
        </w:rPr>
        <w:footnoteReference w:id="3"/>
      </w:r>
      <w:r w:rsidRPr="337696F5">
        <w:rPr>
          <w:lang w:val="en-IE"/>
        </w:rPr>
        <w:t xml:space="preserve"> shows how the data will be used in the customs </w:t>
      </w:r>
      <w:r w:rsidR="5D14A70F" w:rsidRPr="337696F5">
        <w:rPr>
          <w:lang w:val="en-IE"/>
        </w:rPr>
        <w:t>declaration.</w:t>
      </w:r>
      <w:r w:rsidR="3D925047" w:rsidRPr="337696F5">
        <w:rPr>
          <w:lang w:val="en-IE"/>
        </w:rPr>
        <w:t xml:space="preserve"> To look at the full customs documentation please use this link </w:t>
      </w:r>
      <w:hyperlink r:id="rId32">
        <w:r w:rsidR="3D925047" w:rsidRPr="337696F5">
          <w:rPr>
            <w:rStyle w:val="Hyperlink"/>
            <w:rFonts w:eastAsia="Public Sans" w:cs="Public Sans"/>
            <w:lang w:val="en-IE"/>
          </w:rPr>
          <w:t>The single administrative document (SAD) - European Commission</w:t>
        </w:r>
      </w:hyperlink>
      <w:r w:rsidR="3D925047" w:rsidRPr="337696F5">
        <w:rPr>
          <w:lang w:val="en-IE"/>
        </w:rPr>
        <w:t xml:space="preserve"> </w:t>
      </w:r>
    </w:p>
    <w:p w14:paraId="63B17603" w14:textId="1C09FAAA" w:rsidR="3A209900" w:rsidRDefault="3A209900" w:rsidP="3A209900">
      <w:pPr>
        <w:rPr>
          <w:lang w:val="en-IE"/>
        </w:rPr>
      </w:pPr>
    </w:p>
    <w:p w14:paraId="6FDAF04E" w14:textId="5A5EE812" w:rsidR="273AF8E5" w:rsidRDefault="04E91C11">
      <w:r>
        <w:rPr>
          <w:noProof/>
        </w:rPr>
        <w:drawing>
          <wp:inline distT="0" distB="0" distL="0" distR="0" wp14:anchorId="40044829" wp14:editId="7DDD8B66">
            <wp:extent cx="6648450" cy="2362200"/>
            <wp:effectExtent l="0" t="0" r="0" b="0"/>
            <wp:docPr id="526951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51630" name=""/>
                    <pic:cNvPicPr/>
                  </pic:nvPicPr>
                  <pic:blipFill>
                    <a:blip r:embed="rId33">
                      <a:extLst>
                        <a:ext uri="{28A0092B-C50C-407E-A947-70E740481C1C}">
                          <a14:useLocalDpi xmlns:a14="http://schemas.microsoft.com/office/drawing/2010/main" val="0"/>
                        </a:ext>
                      </a:extLst>
                    </a:blip>
                    <a:stretch>
                      <a:fillRect/>
                    </a:stretch>
                  </pic:blipFill>
                  <pic:spPr>
                    <a:xfrm>
                      <a:off x="0" y="0"/>
                      <a:ext cx="6648450" cy="2362200"/>
                    </a:xfrm>
                    <a:prstGeom prst="rect">
                      <a:avLst/>
                    </a:prstGeom>
                  </pic:spPr>
                </pic:pic>
              </a:graphicData>
            </a:graphic>
          </wp:inline>
        </w:drawing>
      </w:r>
    </w:p>
    <w:p w14:paraId="3A520305" w14:textId="77777777" w:rsidR="00F67869" w:rsidRDefault="00F67869" w:rsidP="00F67869">
      <w:pPr>
        <w:pStyle w:val="ListParagraph"/>
        <w:ind w:left="720"/>
      </w:pPr>
    </w:p>
    <w:p w14:paraId="251DF8C3" w14:textId="1F848794" w:rsidR="0A88F668" w:rsidRDefault="2E9393C9" w:rsidP="3A209900">
      <w:pPr>
        <w:pStyle w:val="ListParagraph"/>
        <w:numPr>
          <w:ilvl w:val="0"/>
          <w:numId w:val="6"/>
        </w:numPr>
      </w:pPr>
      <w:r w:rsidRPr="3A209900">
        <w:t>RN/VN - these are the reference and verification numbers from the DDS for the product</w:t>
      </w:r>
    </w:p>
    <w:p w14:paraId="55D6E5E7" w14:textId="194C300E" w:rsidR="2F18BD06" w:rsidRDefault="2B25D7DB" w:rsidP="3A209900">
      <w:pPr>
        <w:pStyle w:val="ListParagraph"/>
        <w:numPr>
          <w:ilvl w:val="0"/>
          <w:numId w:val="6"/>
        </w:numPr>
      </w:pPr>
      <w:r w:rsidRPr="337696F5">
        <w:t xml:space="preserve">Box 28 is for the </w:t>
      </w:r>
      <w:r w:rsidR="32699166" w:rsidRPr="337696F5">
        <w:t>HS/TARIC - this is the extra EUDR TARIC code that will be using Box 28 Financial and banking data until the form is updated to re</w:t>
      </w:r>
      <w:r w:rsidR="767367A4" w:rsidRPr="337696F5">
        <w:t>flect the changes</w:t>
      </w:r>
    </w:p>
    <w:p w14:paraId="423AC1E5" w14:textId="05AE17F9" w:rsidR="38840EC4" w:rsidRDefault="38840EC4" w:rsidP="3A209900">
      <w:pPr>
        <w:pStyle w:val="ListParagraph"/>
        <w:numPr>
          <w:ilvl w:val="0"/>
          <w:numId w:val="6"/>
        </w:numPr>
      </w:pPr>
      <w:r w:rsidRPr="3A209900">
        <w:t xml:space="preserve">Box 33 is for the </w:t>
      </w:r>
      <w:r w:rsidR="00242B94">
        <w:t xml:space="preserve">EU </w:t>
      </w:r>
      <w:r w:rsidR="078E6F86" w:rsidRPr="3A209900">
        <w:t xml:space="preserve">TARIC </w:t>
      </w:r>
      <w:r w:rsidR="00242B94">
        <w:t xml:space="preserve">code or UK </w:t>
      </w:r>
      <w:r w:rsidRPr="3A209900">
        <w:t>commodity code</w:t>
      </w:r>
    </w:p>
    <w:p w14:paraId="0EF249C8" w14:textId="68F53893" w:rsidR="3A209900" w:rsidRDefault="3A209900" w:rsidP="3A209900"/>
    <w:p w14:paraId="6C9BFB4F" w14:textId="77777777" w:rsidR="005C09CF" w:rsidRDefault="005C09CF" w:rsidP="3A209900">
      <w:pPr>
        <w:pStyle w:val="Heading2"/>
      </w:pPr>
      <w:bookmarkStart w:id="37" w:name="_Toc237262963"/>
      <w:r>
        <w:t>Clearing customs</w:t>
      </w:r>
      <w:bookmarkEnd w:id="37"/>
    </w:p>
    <w:p w14:paraId="56C8E05A" w14:textId="77777777" w:rsidR="005C09CF" w:rsidRDefault="005C09CF" w:rsidP="005C09CF"/>
    <w:p w14:paraId="76D53740" w14:textId="6528B8F5" w:rsidR="00F40964" w:rsidRPr="00F40964" w:rsidRDefault="00246A05" w:rsidP="00F40964">
      <w:r>
        <w:t xml:space="preserve">The </w:t>
      </w:r>
      <w:r w:rsidR="00F40964" w:rsidRPr="00F40964">
        <w:t>EU’s Customs Decision System (CDS) interacts with Traces.</w:t>
      </w:r>
    </w:p>
    <w:p w14:paraId="67104729" w14:textId="77777777" w:rsidR="002300F1" w:rsidRDefault="00F40964" w:rsidP="00F40964">
      <w:r w:rsidRPr="00F40964">
        <w:t> </w:t>
      </w:r>
    </w:p>
    <w:p w14:paraId="0C6FC183" w14:textId="26DC28A7" w:rsidR="00F40964" w:rsidRPr="00F40964" w:rsidRDefault="00F40964" w:rsidP="00F40964">
      <w:r w:rsidRPr="00F40964">
        <w:t>CDS </w:t>
      </w:r>
      <w:r w:rsidRPr="00F40964">
        <w:rPr>
          <w:b/>
          <w:bCs/>
        </w:rPr>
        <w:t>ONLY</w:t>
      </w:r>
      <w:r w:rsidRPr="00F40964">
        <w:t> checks the validity of the DDS reference in Traces. It does not match the identity of the Operator who submitted the DDS in Traces to the Importer of Record per the customs paperwork.</w:t>
      </w:r>
    </w:p>
    <w:p w14:paraId="365F78F6" w14:textId="77777777" w:rsidR="00F40964" w:rsidRPr="00F40964" w:rsidRDefault="00F40964" w:rsidP="00F40964">
      <w:r w:rsidRPr="00F40964">
        <w:t> </w:t>
      </w:r>
    </w:p>
    <w:p w14:paraId="49F3797A" w14:textId="76B77CEE" w:rsidR="008675F1" w:rsidRPr="008675F1" w:rsidRDefault="00F40964" w:rsidP="008675F1">
      <w:r w:rsidRPr="00B1563F">
        <w:t>Therefore, it should</w:t>
      </w:r>
      <w:r w:rsidRPr="00F40964">
        <w:t xml:space="preserve"> be possible to use the existing DDS reference (provided by the publisher or distributor</w:t>
      </w:r>
      <w:r w:rsidR="00334DA4">
        <w:t>)</w:t>
      </w:r>
      <w:r w:rsidRPr="00F40964">
        <w:t xml:space="preserve"> to clear customs. However, the EU operator (Importer of record) should subsequently submit a new DDS (referring to the previous existing DDS communicated by the publisher or distributor) to meet </w:t>
      </w:r>
      <w:r w:rsidR="008675F1">
        <w:t>their</w:t>
      </w:r>
      <w:r w:rsidRPr="00F40964">
        <w:t xml:space="preserve"> obligations under the regulation, which could be subject to audit by the relevant National Competent Authorities at a later date.</w:t>
      </w:r>
      <w:r w:rsidR="00AC082C">
        <w:t xml:space="preserve"> Therefore, </w:t>
      </w:r>
      <w:r w:rsidR="008675F1" w:rsidRPr="008675F1">
        <w:t xml:space="preserve">the importer does </w:t>
      </w:r>
      <w:r w:rsidR="008675F1" w:rsidRPr="008675F1">
        <w:rPr>
          <w:b/>
          <w:bCs/>
        </w:rPr>
        <w:t>NOT</w:t>
      </w:r>
      <w:r w:rsidR="008675F1" w:rsidRPr="008675F1">
        <w:t xml:space="preserve"> need to create a new DDS at the point of import. The clearance can be achieved using the DDS provided with the books by the distributor/publisher – though that does suggest </w:t>
      </w:r>
      <w:r w:rsidR="00AC082C" w:rsidRPr="008675F1">
        <w:t>it is</w:t>
      </w:r>
      <w:r w:rsidR="008675F1" w:rsidRPr="008675F1">
        <w:t xml:space="preserve"> important that by that point, a single DDS has been created for all the books in the shipment being imported, rather than a raft of DDS’s that relate to separate books or, indeed, all the various papers involved.</w:t>
      </w:r>
    </w:p>
    <w:p w14:paraId="1C881510" w14:textId="77777777" w:rsidR="008675F1" w:rsidRPr="008675F1" w:rsidRDefault="008675F1" w:rsidP="008675F1">
      <w:r w:rsidRPr="008675F1">
        <w:t> </w:t>
      </w:r>
    </w:p>
    <w:p w14:paraId="2B9CD530" w14:textId="45CD43BE" w:rsidR="008675F1" w:rsidRPr="008675F1" w:rsidRDefault="008675F1" w:rsidP="008675F1">
      <w:r w:rsidRPr="008675F1">
        <w:t>The importer does still need to create a DDS that encompasses the imported DDS to complete the process,</w:t>
      </w:r>
      <w:r w:rsidR="006A28DA">
        <w:t xml:space="preserve"> </w:t>
      </w:r>
      <w:r w:rsidRPr="008675F1">
        <w:t>but does not per se need to create their own DDS and use it for customs clearance itself.</w:t>
      </w:r>
    </w:p>
    <w:p w14:paraId="0A7F52FC" w14:textId="77777777" w:rsidR="005C09CF" w:rsidRDefault="005C09CF" w:rsidP="005C09CF"/>
    <w:p w14:paraId="14B2CBBB" w14:textId="37050621" w:rsidR="40446B7D" w:rsidRDefault="3CB9E0C2" w:rsidP="3A209900">
      <w:pPr>
        <w:pStyle w:val="Heading2"/>
      </w:pPr>
      <w:bookmarkStart w:id="38" w:name="_Toc237262964"/>
      <w:r>
        <w:t>Some general points to consider with shipping</w:t>
      </w:r>
      <w:bookmarkEnd w:id="38"/>
    </w:p>
    <w:p w14:paraId="6C156A01" w14:textId="1224C0B7" w:rsidR="3A209900" w:rsidRDefault="3A209900" w:rsidP="3A209900"/>
    <w:p w14:paraId="7F966F88" w14:textId="633A5DD0" w:rsidR="40446B7D" w:rsidRPr="005F0AAE" w:rsidRDefault="40446B7D" w:rsidP="3A209900">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 xml:space="preserve">Publishers and Printers should not be </w:t>
      </w:r>
      <w:r w:rsidR="00943411">
        <w:rPr>
          <w:rFonts w:eastAsia="Aptos" w:cs="Aptos"/>
          <w:color w:val="000000" w:themeColor="text1"/>
        </w:rPr>
        <w:t>shipping</w:t>
      </w:r>
      <w:r w:rsidR="00943411" w:rsidRPr="005F0AAE">
        <w:rPr>
          <w:rFonts w:eastAsia="Aptos" w:cs="Aptos"/>
          <w:color w:val="000000" w:themeColor="text1"/>
        </w:rPr>
        <w:t xml:space="preserve"> </w:t>
      </w:r>
      <w:r w:rsidRPr="005F0AAE">
        <w:rPr>
          <w:rFonts w:eastAsia="Aptos" w:cs="Aptos"/>
          <w:color w:val="000000" w:themeColor="text1"/>
        </w:rPr>
        <w:t>consignments if they are not happy their supply chain has completed their own due diligence</w:t>
      </w:r>
      <w:r w:rsidR="5E660999" w:rsidRPr="005F0AAE">
        <w:rPr>
          <w:rFonts w:eastAsia="Aptos" w:cs="Aptos"/>
          <w:color w:val="000000" w:themeColor="text1"/>
        </w:rPr>
        <w:t>,</w:t>
      </w:r>
    </w:p>
    <w:p w14:paraId="7F24FF74" w14:textId="2A0EF229" w:rsidR="40446B7D" w:rsidRPr="005F0AAE" w:rsidRDefault="40446B7D" w:rsidP="3A209900">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Quay Rent, Detention and Demurrage - charges are prohibitive for Quay Rent and demurrage for goods that are uncleared and not allowed into free circulation</w:t>
      </w:r>
      <w:r w:rsidR="432B307F" w:rsidRPr="005F0AAE">
        <w:rPr>
          <w:rFonts w:eastAsia="Aptos" w:cs="Aptos"/>
          <w:color w:val="000000" w:themeColor="text1"/>
        </w:rPr>
        <w:t>,</w:t>
      </w:r>
    </w:p>
    <w:p w14:paraId="410927D9" w14:textId="5B131C80" w:rsidR="40446B7D" w:rsidRPr="005F0AAE" w:rsidRDefault="40446B7D" w:rsidP="3A209900">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When goods are shipped as full containers (FCL) there are charges for leaving the container on the quay, and then for keeping hold of the container longer than is permitted under the individual agreement. The container can only be removed under bond and to a government approved facility if the goods are not cleared</w:t>
      </w:r>
      <w:r w:rsidR="61AD9C80" w:rsidRPr="005F0AAE">
        <w:rPr>
          <w:rFonts w:eastAsia="Aptos" w:cs="Aptos"/>
          <w:color w:val="000000" w:themeColor="text1"/>
        </w:rPr>
        <w:t>,</w:t>
      </w:r>
    </w:p>
    <w:p w14:paraId="6A71D85F" w14:textId="4A9B83D5" w:rsidR="40446B7D" w:rsidRPr="005F0AAE" w:rsidRDefault="3CB9E0C2" w:rsidP="337696F5">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Where goods are shipped as part of a full container (LCL) the container will be unpacked at a customs</w:t>
      </w:r>
      <w:r w:rsidR="00FB0FB2">
        <w:rPr>
          <w:rFonts w:eastAsia="Aptos" w:cs="Aptos"/>
          <w:color w:val="000000" w:themeColor="text1"/>
        </w:rPr>
        <w:t>’</w:t>
      </w:r>
      <w:r w:rsidRPr="005F0AAE">
        <w:rPr>
          <w:rFonts w:eastAsia="Aptos" w:cs="Aptos"/>
          <w:color w:val="000000" w:themeColor="text1"/>
        </w:rPr>
        <w:t xml:space="preserve"> approved facility and held in a bonded area of that warehouse.  As there is limited space then the cost is much more than you would normally pay for general storage</w:t>
      </w:r>
      <w:r w:rsidR="7D4EC7FB" w:rsidRPr="005F0AAE">
        <w:rPr>
          <w:rFonts w:eastAsia="Aptos" w:cs="Aptos"/>
          <w:color w:val="000000" w:themeColor="text1"/>
        </w:rPr>
        <w:t>,</w:t>
      </w:r>
    </w:p>
    <w:p w14:paraId="62E33209" w14:textId="0A75CB32" w:rsidR="40446B7D" w:rsidRPr="005F0AAE" w:rsidRDefault="40446B7D" w:rsidP="3A209900">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 xml:space="preserve">Charges can quickly add up, within a very short time the charges could become more than the value of the </w:t>
      </w:r>
      <w:r w:rsidR="0015B99A" w:rsidRPr="005F0AAE">
        <w:rPr>
          <w:rFonts w:eastAsia="Aptos" w:cs="Aptos"/>
          <w:color w:val="000000" w:themeColor="text1"/>
        </w:rPr>
        <w:t xml:space="preserve">goods, </w:t>
      </w:r>
      <w:r w:rsidRPr="005F0AAE">
        <w:rPr>
          <w:rFonts w:eastAsia="Aptos" w:cs="Aptos"/>
          <w:color w:val="000000" w:themeColor="text1"/>
        </w:rPr>
        <w:t>and this may lead to disputes and the cargo to be abandoned</w:t>
      </w:r>
      <w:r w:rsidR="0E42D064" w:rsidRPr="005F0AAE">
        <w:rPr>
          <w:rFonts w:eastAsia="Aptos" w:cs="Aptos"/>
          <w:color w:val="000000" w:themeColor="text1"/>
        </w:rPr>
        <w:t>,</w:t>
      </w:r>
    </w:p>
    <w:p w14:paraId="2091CE2F" w14:textId="247A44C1" w:rsidR="40446B7D" w:rsidRPr="005F0AAE" w:rsidRDefault="40446B7D" w:rsidP="3A209900">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Abandoned cargo is very rare in Publishing,</w:t>
      </w:r>
      <w:r w:rsidR="5E3102AE" w:rsidRPr="005F0AAE">
        <w:rPr>
          <w:rFonts w:eastAsia="Aptos" w:cs="Aptos"/>
          <w:color w:val="000000" w:themeColor="text1"/>
        </w:rPr>
        <w:t xml:space="preserve"> </w:t>
      </w:r>
      <w:r w:rsidRPr="005F0AAE">
        <w:rPr>
          <w:rFonts w:eastAsia="Aptos" w:cs="Aptos"/>
          <w:color w:val="000000" w:themeColor="text1"/>
        </w:rPr>
        <w:t>but it is very costly</w:t>
      </w:r>
      <w:r w:rsidR="7416C41C" w:rsidRPr="005F0AAE">
        <w:rPr>
          <w:rFonts w:eastAsia="Aptos" w:cs="Aptos"/>
          <w:color w:val="000000" w:themeColor="text1"/>
        </w:rPr>
        <w:t>,</w:t>
      </w:r>
    </w:p>
    <w:p w14:paraId="07D421B8" w14:textId="06CF6015" w:rsidR="40446B7D" w:rsidRPr="005F0AAE" w:rsidRDefault="40446B7D" w:rsidP="3A209900">
      <w:pPr>
        <w:pStyle w:val="ListParagraph"/>
        <w:numPr>
          <w:ilvl w:val="0"/>
          <w:numId w:val="5"/>
        </w:numPr>
        <w:shd w:val="clear" w:color="auto" w:fill="FFFFFF" w:themeFill="background1"/>
        <w:rPr>
          <w:rFonts w:eastAsia="Aptos" w:cs="Aptos"/>
          <w:color w:val="000000" w:themeColor="text1"/>
        </w:rPr>
      </w:pPr>
      <w:r w:rsidRPr="005F0AAE">
        <w:rPr>
          <w:rFonts w:eastAsia="Aptos" w:cs="Aptos"/>
          <w:color w:val="000000" w:themeColor="text1"/>
        </w:rPr>
        <w:t>Although the Importer of Record, usually your EU customer, is responsible for the EUDR declaration, in the event of cargo being abandoned</w:t>
      </w:r>
      <w:r w:rsidR="006A4D28">
        <w:rPr>
          <w:rFonts w:eastAsia="Aptos" w:cs="Aptos"/>
          <w:color w:val="000000" w:themeColor="text1"/>
        </w:rPr>
        <w:t>,</w:t>
      </w:r>
      <w:r w:rsidRPr="005F0AAE">
        <w:rPr>
          <w:rFonts w:eastAsia="Aptos" w:cs="Aptos"/>
          <w:color w:val="000000" w:themeColor="text1"/>
        </w:rPr>
        <w:t xml:space="preserve"> all charges due go back to the shipper. </w:t>
      </w:r>
      <w:r w:rsidR="317423B2" w:rsidRPr="005F0AAE">
        <w:rPr>
          <w:rFonts w:eastAsia="Aptos" w:cs="Aptos"/>
          <w:color w:val="000000" w:themeColor="text1"/>
        </w:rPr>
        <w:t>So,</w:t>
      </w:r>
      <w:r w:rsidRPr="005F0AAE">
        <w:rPr>
          <w:rFonts w:eastAsia="Aptos" w:cs="Aptos"/>
          <w:color w:val="000000" w:themeColor="text1"/>
        </w:rPr>
        <w:t xml:space="preserve"> the costs would feed back to the freight forwarder at origin, who would then pass the charge back to the printer, who would then pass those charges back to the original contractor, The Publisher</w:t>
      </w:r>
      <w:r w:rsidR="006E59AF">
        <w:rPr>
          <w:rFonts w:eastAsia="Aptos" w:cs="Aptos"/>
          <w:color w:val="000000" w:themeColor="text1"/>
        </w:rPr>
        <w:t xml:space="preserve">. </w:t>
      </w:r>
      <w:r w:rsidR="006A4D28">
        <w:rPr>
          <w:rFonts w:eastAsia="Aptos" w:cs="Aptos"/>
          <w:color w:val="000000" w:themeColor="text1"/>
        </w:rPr>
        <w:t>However, t</w:t>
      </w:r>
      <w:r w:rsidR="006E59AF">
        <w:rPr>
          <w:rFonts w:eastAsia="Aptos" w:cs="Aptos"/>
          <w:color w:val="000000" w:themeColor="text1"/>
        </w:rPr>
        <w:t xml:space="preserve">his will </w:t>
      </w:r>
      <w:r w:rsidR="006A4D28">
        <w:rPr>
          <w:rFonts w:eastAsia="Aptos" w:cs="Aptos"/>
          <w:color w:val="000000" w:themeColor="text1"/>
        </w:rPr>
        <w:t xml:space="preserve">of course be </w:t>
      </w:r>
      <w:r w:rsidR="00F65030">
        <w:rPr>
          <w:rFonts w:eastAsia="Aptos" w:cs="Aptos"/>
          <w:color w:val="000000" w:themeColor="text1"/>
        </w:rPr>
        <w:t>dependent</w:t>
      </w:r>
      <w:r w:rsidR="006E59AF">
        <w:rPr>
          <w:rFonts w:eastAsia="Aptos" w:cs="Aptos"/>
          <w:color w:val="000000" w:themeColor="text1"/>
        </w:rPr>
        <w:t xml:space="preserve"> on the contracts in place between all the organisations concerned.</w:t>
      </w:r>
    </w:p>
    <w:p w14:paraId="79EC642F" w14:textId="2F765218" w:rsidR="3A209900" w:rsidRDefault="3A209900" w:rsidP="3A209900"/>
    <w:p w14:paraId="640331E5" w14:textId="19DD8395" w:rsidR="5A3E65FB" w:rsidRDefault="0D54C23C" w:rsidP="3A209900">
      <w:pPr>
        <w:pStyle w:val="Heading2"/>
      </w:pPr>
      <w:bookmarkStart w:id="39" w:name="_Toc237262965"/>
      <w:r>
        <w:t>Extra resources</w:t>
      </w:r>
      <w:bookmarkEnd w:id="39"/>
    </w:p>
    <w:p w14:paraId="1B42E97E" w14:textId="4395A3E2" w:rsidR="3A209900" w:rsidRDefault="3A209900" w:rsidP="3A209900"/>
    <w:p w14:paraId="2B772A08" w14:textId="45B6C941" w:rsidR="5A3E65FB" w:rsidRDefault="5A3E65FB" w:rsidP="3A209900">
      <w:r w:rsidRPr="3A209900">
        <w:t>Here are series of links to documents to help explain the trading terms</w:t>
      </w:r>
      <w:r w:rsidR="058829B1" w:rsidRPr="3A209900">
        <w:t xml:space="preserve"> and trading between Ireland and Northern Ireland.</w:t>
      </w:r>
      <w:r w:rsidRPr="3A209900">
        <w:t xml:space="preserve">  </w:t>
      </w:r>
    </w:p>
    <w:p w14:paraId="607EBA2A" w14:textId="1952ACC5" w:rsidR="3A209900" w:rsidRDefault="3A209900" w:rsidP="3A209900"/>
    <w:p w14:paraId="0EB17B51" w14:textId="6C41B4A8" w:rsidR="5A3E65FB" w:rsidRDefault="5A3E65FB" w:rsidP="002300F1">
      <w:pPr>
        <w:spacing w:line="200" w:lineRule="exact"/>
      </w:pPr>
      <w:hyperlink r:id="rId34">
        <w:r w:rsidRPr="3A209900">
          <w:rPr>
            <w:rStyle w:val="Hyperlink"/>
          </w:rPr>
          <w:t>EUDR and the importance of HS and TARIC codes - What companies need to know now</w:t>
        </w:r>
      </w:hyperlink>
    </w:p>
    <w:p w14:paraId="7C65595D" w14:textId="6215B78A" w:rsidR="3A209900" w:rsidRDefault="3A209900" w:rsidP="002300F1">
      <w:pPr>
        <w:spacing w:line="200" w:lineRule="exact"/>
      </w:pPr>
    </w:p>
    <w:p w14:paraId="101619E3" w14:textId="2E483FEB" w:rsidR="6E944149" w:rsidRDefault="6E944149" w:rsidP="002300F1">
      <w:pPr>
        <w:spacing w:line="200" w:lineRule="exact"/>
      </w:pPr>
      <w:hyperlink r:id="rId35" w:anchor="export">
        <w:r w:rsidRPr="3A209900">
          <w:rPr>
            <w:rStyle w:val="Hyperlink"/>
          </w:rPr>
          <w:t>Exporting from Northern Ireland</w:t>
        </w:r>
      </w:hyperlink>
    </w:p>
    <w:p w14:paraId="614BFB08" w14:textId="771ED219" w:rsidR="3A209900" w:rsidRDefault="3A209900" w:rsidP="002300F1">
      <w:pPr>
        <w:spacing w:line="200" w:lineRule="exact"/>
      </w:pPr>
    </w:p>
    <w:p w14:paraId="289AF3FE" w14:textId="78BECE0F" w:rsidR="0203F197" w:rsidRDefault="0203F197" w:rsidP="002300F1">
      <w:pPr>
        <w:spacing w:line="200" w:lineRule="exact"/>
      </w:pPr>
      <w:hyperlink r:id="rId36" w:anchor="Extensions">
        <w:r w:rsidRPr="3A209900">
          <w:rPr>
            <w:rStyle w:val="Hyperlink"/>
          </w:rPr>
          <w:t>Trade between Ireland and Northern Ireland</w:t>
        </w:r>
      </w:hyperlink>
    </w:p>
    <w:p w14:paraId="2055E74D" w14:textId="70A6745C" w:rsidR="3A209900" w:rsidRDefault="3A209900" w:rsidP="002300F1">
      <w:pPr>
        <w:spacing w:line="200" w:lineRule="exact"/>
      </w:pPr>
    </w:p>
    <w:p w14:paraId="34ED30DD" w14:textId="3972F2C7" w:rsidR="40C1F2FD" w:rsidRDefault="13478214" w:rsidP="002300F1">
      <w:pPr>
        <w:spacing w:line="200" w:lineRule="exact"/>
      </w:pPr>
      <w:hyperlink r:id="rId37">
        <w:r w:rsidRPr="337696F5">
          <w:rPr>
            <w:rStyle w:val="Hyperlink"/>
          </w:rPr>
          <w:t>Cross boarder trade in Ireland FAQs</w:t>
        </w:r>
      </w:hyperlink>
    </w:p>
    <w:p w14:paraId="1B545077" w14:textId="7C8B39D3" w:rsidR="337696F5" w:rsidRDefault="337696F5" w:rsidP="002300F1">
      <w:pPr>
        <w:spacing w:line="200" w:lineRule="exact"/>
      </w:pPr>
    </w:p>
    <w:p w14:paraId="61FF5ED2" w14:textId="3C843A8A" w:rsidR="2A3C2239" w:rsidRPr="002300F1" w:rsidRDefault="2A3C2239" w:rsidP="002300F1">
      <w:pPr>
        <w:spacing w:line="200" w:lineRule="exact"/>
        <w:rPr>
          <w:rFonts w:eastAsia="Public Sans" w:cs="Public Sans"/>
        </w:rPr>
      </w:pPr>
      <w:hyperlink r:id="rId38">
        <w:r w:rsidRPr="002300F1">
          <w:rPr>
            <w:rStyle w:val="Hyperlink"/>
            <w:rFonts w:eastAsia="Aptos" w:cs="Aptos"/>
          </w:rPr>
          <w:t>Minutes Of Evidence Report</w:t>
        </w:r>
      </w:hyperlink>
      <w:r w:rsidR="3A07C523" w:rsidRPr="002300F1">
        <w:rPr>
          <w:rFonts w:eastAsia="Aptos" w:cs="Aptos"/>
        </w:rPr>
        <w:t xml:space="preserve"> - Discussions on Northern Ireland’s role in EUDR</w:t>
      </w:r>
    </w:p>
    <w:p w14:paraId="71973C37" w14:textId="2FB908E3" w:rsidR="337696F5" w:rsidRDefault="337696F5" w:rsidP="002300F1">
      <w:pPr>
        <w:spacing w:line="200" w:lineRule="exact"/>
      </w:pPr>
    </w:p>
    <w:p w14:paraId="059E2D6A" w14:textId="13FAB4B3" w:rsidR="2F86FA25" w:rsidRDefault="00330B1A" w:rsidP="002300F1">
      <w:pPr>
        <w:spacing w:line="200" w:lineRule="exact"/>
      </w:pPr>
      <w:hyperlink r:id="rId39" w:history="1">
        <w:r w:rsidRPr="00330B1A">
          <w:rPr>
            <w:rStyle w:val="Hyperlink"/>
          </w:rPr>
          <w:t>Incoterms</w:t>
        </w:r>
      </w:hyperlink>
      <w:r>
        <w:t xml:space="preserve"> </w:t>
      </w:r>
    </w:p>
    <w:p w14:paraId="6E007E8B" w14:textId="0FD51617" w:rsidR="3A209900" w:rsidRDefault="3A209900"/>
    <w:p w14:paraId="0BA300F8" w14:textId="77777777" w:rsidR="00E14F13" w:rsidRDefault="2237E80C" w:rsidP="00E14F13">
      <w:pPr>
        <w:pStyle w:val="Heading1"/>
      </w:pPr>
      <w:bookmarkStart w:id="40" w:name="_Toc237262966"/>
      <w:r>
        <w:t>Help with understanding the transition period</w:t>
      </w:r>
      <w:bookmarkEnd w:id="40"/>
    </w:p>
    <w:p w14:paraId="01381F27" w14:textId="4B037F06" w:rsidR="0A88F668" w:rsidRDefault="0A88F668" w:rsidP="0A88F668"/>
    <w:p w14:paraId="50C69340" w14:textId="1E1B984D" w:rsidR="4ECB3EDD" w:rsidRDefault="4ECB3EDD">
      <w:r>
        <w:t xml:space="preserve">The </w:t>
      </w:r>
      <w:r w:rsidR="00C30C90">
        <w:t xml:space="preserve">revised </w:t>
      </w:r>
      <w:r>
        <w:t>EU</w:t>
      </w:r>
      <w:r w:rsidR="6C8D3398">
        <w:t xml:space="preserve">DR regulation states that it will go live on the 30 December </w:t>
      </w:r>
      <w:r w:rsidR="00841857">
        <w:t>2026</w:t>
      </w:r>
      <w:r w:rsidR="6C8D3398">
        <w:t xml:space="preserve">, but </w:t>
      </w:r>
      <w:r w:rsidR="01A5FCBF">
        <w:t xml:space="preserve">what </w:t>
      </w:r>
      <w:r w:rsidR="6C8D3398">
        <w:t xml:space="preserve">does this mean for products produced before that </w:t>
      </w:r>
      <w:r w:rsidR="6C8D3398" w:rsidRPr="00625A75">
        <w:t>date</w:t>
      </w:r>
      <w:r w:rsidR="0088472F" w:rsidRPr="00625A75">
        <w:t>?</w:t>
      </w:r>
      <w:r w:rsidR="6C8D3398" w:rsidRPr="00625A75">
        <w:t xml:space="preserve"> </w:t>
      </w:r>
      <w:r w:rsidR="6C8D3398">
        <w:t>The EU</w:t>
      </w:r>
      <w:r>
        <w:t xml:space="preserve"> </w:t>
      </w:r>
      <w:r w:rsidR="00242B94">
        <w:t>Commission</w:t>
      </w:r>
      <w:r>
        <w:t xml:space="preserve"> has designated a transition period</w:t>
      </w:r>
      <w:r w:rsidR="3BCC89FC">
        <w:t xml:space="preserve"> which </w:t>
      </w:r>
      <w:r w:rsidR="3B184F08">
        <w:t xml:space="preserve">covers </w:t>
      </w:r>
      <w:r w:rsidR="3BCC89FC">
        <w:t xml:space="preserve">product produced </w:t>
      </w:r>
      <w:r w:rsidR="4DFCFF65">
        <w:t>between</w:t>
      </w:r>
      <w:r w:rsidR="3BCC89FC">
        <w:t xml:space="preserve"> the 29 June 2023</w:t>
      </w:r>
      <w:r w:rsidR="22F0C1AC">
        <w:t xml:space="preserve"> and the 30 December </w:t>
      </w:r>
      <w:r w:rsidR="00841857">
        <w:t>2026</w:t>
      </w:r>
      <w:r w:rsidR="22F0C1AC">
        <w:t>. Any product produced before 29 June 2023</w:t>
      </w:r>
      <w:r w:rsidR="3BCC89FC">
        <w:t xml:space="preserve"> only </w:t>
      </w:r>
      <w:r w:rsidR="1E8BF4B2">
        <w:t>must</w:t>
      </w:r>
      <w:r w:rsidR="3BCC89FC">
        <w:t xml:space="preserve"> comply </w:t>
      </w:r>
      <w:r w:rsidR="3BCC89FC" w:rsidRPr="005940E7">
        <w:t xml:space="preserve">with </w:t>
      </w:r>
      <w:r w:rsidR="0031605D" w:rsidRPr="005940E7">
        <w:t xml:space="preserve">the existing </w:t>
      </w:r>
      <w:r w:rsidR="3BCC89FC" w:rsidRPr="005940E7">
        <w:t>EUTR</w:t>
      </w:r>
      <w:r w:rsidR="0031605D" w:rsidRPr="005940E7">
        <w:t xml:space="preserve"> regulation</w:t>
      </w:r>
      <w:r w:rsidR="3BCC89FC" w:rsidRPr="005940E7">
        <w:t xml:space="preserve"> until </w:t>
      </w:r>
      <w:r w:rsidR="3A53E817" w:rsidRPr="005940E7">
        <w:t>31 December 2028</w:t>
      </w:r>
      <w:r w:rsidR="2366DC57" w:rsidRPr="005940E7">
        <w:t xml:space="preserve"> </w:t>
      </w:r>
      <w:r w:rsidR="0031605D" w:rsidRPr="005940E7">
        <w:t>before</w:t>
      </w:r>
      <w:r w:rsidR="2366DC57" w:rsidRPr="005940E7">
        <w:t xml:space="preserve"> it</w:t>
      </w:r>
      <w:r w:rsidR="0031605D" w:rsidRPr="005940E7">
        <w:t xml:space="preserve"> then</w:t>
      </w:r>
      <w:r w:rsidR="2366DC57" w:rsidRPr="005940E7">
        <w:t xml:space="preserve"> falls under the EUDR regulati</w:t>
      </w:r>
      <w:r w:rsidR="2366DC57">
        <w:t>on</w:t>
      </w:r>
      <w:r w:rsidR="3A53E817">
        <w:t xml:space="preserve">. </w:t>
      </w:r>
      <w:r w:rsidR="5DFEA321">
        <w:t xml:space="preserve">Product produced between the 29 June 2023 and 30 December </w:t>
      </w:r>
      <w:r w:rsidR="00841857">
        <w:t xml:space="preserve">2026 </w:t>
      </w:r>
      <w:r w:rsidR="000A5E71">
        <w:t xml:space="preserve">and thereafter, </w:t>
      </w:r>
      <w:r w:rsidR="5DFEA321">
        <w:t xml:space="preserve">falls under the requirements of EUDR. </w:t>
      </w:r>
    </w:p>
    <w:p w14:paraId="51F3379B" w14:textId="4C7334A8" w:rsidR="164D15C9" w:rsidRDefault="164D15C9" w:rsidP="164D15C9"/>
    <w:p w14:paraId="725FBD37" w14:textId="346B6A9D" w:rsidR="006E59AF" w:rsidRPr="00E84E6F" w:rsidRDefault="35794514" w:rsidP="3A209900">
      <w:pPr>
        <w:rPr>
          <w:rFonts w:eastAsia="Public Sans" w:cs="Public Sans"/>
          <w:i/>
          <w:iCs/>
        </w:rPr>
      </w:pPr>
      <w:r>
        <w:t>The following table</w:t>
      </w:r>
      <w:r w:rsidR="33503E4F">
        <w:t xml:space="preserve"> </w:t>
      </w:r>
      <w:r w:rsidR="008E70A2">
        <w:t xml:space="preserve">and accompanying “Q1” text </w:t>
      </w:r>
      <w:r w:rsidR="33503E4F">
        <w:t>is</w:t>
      </w:r>
      <w:r>
        <w:t xml:space="preserve"> taken </w:t>
      </w:r>
      <w:r w:rsidR="008E70A2">
        <w:t xml:space="preserve">directly </w:t>
      </w:r>
      <w:r>
        <w:t>from the</w:t>
      </w:r>
      <w:r w:rsidR="5680311F">
        <w:t xml:space="preserve"> </w:t>
      </w:r>
      <w:hyperlink r:id="rId40">
        <w:r w:rsidR="5680311F" w:rsidRPr="3A209900">
          <w:rPr>
            <w:rStyle w:val="Hyperlink"/>
          </w:rPr>
          <w:t>Updated Guidance Document for Regulation on Deforestation Free Products.</w:t>
        </w:r>
      </w:hyperlink>
      <w:r w:rsidR="00E84E6F">
        <w:t xml:space="preserve"> </w:t>
      </w:r>
      <w:r w:rsidR="008007FF" w:rsidRPr="00E84E6F">
        <w:t xml:space="preserve">It has also been redrawn </w:t>
      </w:r>
      <w:r w:rsidR="00C87D05" w:rsidRPr="00E84E6F">
        <w:t>to make it readable.</w:t>
      </w:r>
    </w:p>
    <w:p w14:paraId="12D64DAB" w14:textId="77777777" w:rsidR="007350BC" w:rsidRDefault="007350BC" w:rsidP="0011010E">
      <w:pPr>
        <w:jc w:val="center"/>
      </w:pPr>
    </w:p>
    <w:p w14:paraId="29A806A3" w14:textId="63BEB463" w:rsidR="003A74AE" w:rsidRPr="003A74AE" w:rsidRDefault="003A74AE" w:rsidP="00471C78">
      <w:pPr>
        <w:widowControl/>
        <w:autoSpaceDE/>
        <w:autoSpaceDN/>
        <w:rPr>
          <w:rFonts w:ascii="Calibri" w:eastAsia="Times New Roman" w:hAnsi="Calibri" w:cs="Calibri"/>
          <w:color w:val="000000"/>
          <w:lang w:eastAsia="en-GB"/>
        </w:rPr>
      </w:pPr>
      <w:r w:rsidRPr="003A74AE">
        <w:rPr>
          <w:rFonts w:ascii="Calibri" w:eastAsia="Times New Roman" w:hAnsi="Calibri" w:cs="Calibri"/>
          <w:b/>
          <w:bCs/>
          <w:color w:val="000000"/>
          <w:lang w:eastAsia="en-GB"/>
        </w:rPr>
        <w:t xml:space="preserve">Q1 Are </w:t>
      </w:r>
      <w:r w:rsidR="004B6FE5">
        <w:rPr>
          <w:rFonts w:ascii="Calibri" w:eastAsia="Times New Roman" w:hAnsi="Calibri" w:cs="Calibri"/>
          <w:b/>
          <w:bCs/>
          <w:color w:val="000000"/>
          <w:lang w:eastAsia="en-GB"/>
        </w:rPr>
        <w:t xml:space="preserve">Chapter 48 </w:t>
      </w:r>
      <w:r w:rsidRPr="003A74AE">
        <w:rPr>
          <w:rFonts w:ascii="Calibri" w:eastAsia="Times New Roman" w:hAnsi="Calibri" w:cs="Calibri"/>
          <w:b/>
          <w:bCs/>
          <w:color w:val="000000"/>
          <w:lang w:eastAsia="en-GB"/>
        </w:rPr>
        <w:t xml:space="preserve">paper products which are placed on the market from 30 December </w:t>
      </w:r>
      <w:r w:rsidR="00087342" w:rsidRPr="003A74AE">
        <w:rPr>
          <w:rFonts w:ascii="Calibri" w:eastAsia="Times New Roman" w:hAnsi="Calibri" w:cs="Calibri"/>
          <w:b/>
          <w:bCs/>
          <w:color w:val="000000"/>
          <w:lang w:eastAsia="en-GB"/>
        </w:rPr>
        <w:t>202</w:t>
      </w:r>
      <w:r w:rsidR="00087342">
        <w:rPr>
          <w:rFonts w:ascii="Calibri" w:eastAsia="Times New Roman" w:hAnsi="Calibri" w:cs="Calibri"/>
          <w:b/>
          <w:bCs/>
          <w:color w:val="000000"/>
          <w:lang w:eastAsia="en-GB"/>
        </w:rPr>
        <w:t xml:space="preserve">6 </w:t>
      </w:r>
      <w:r w:rsidRPr="003A74AE">
        <w:rPr>
          <w:rFonts w:ascii="Calibri" w:eastAsia="Times New Roman" w:hAnsi="Calibri" w:cs="Calibri"/>
          <w:b/>
          <w:bCs/>
          <w:color w:val="000000"/>
          <w:lang w:eastAsia="en-GB"/>
        </w:rPr>
        <w:t xml:space="preserve">but that are manufactured from timber that was harvested and placed on the market between 29 June 2023 and 30 December </w:t>
      </w:r>
      <w:r w:rsidR="00087342" w:rsidRPr="003A74AE">
        <w:rPr>
          <w:rFonts w:ascii="Calibri" w:eastAsia="Times New Roman" w:hAnsi="Calibri" w:cs="Calibri"/>
          <w:b/>
          <w:bCs/>
          <w:color w:val="000000"/>
          <w:lang w:eastAsia="en-GB"/>
        </w:rPr>
        <w:t>202</w:t>
      </w:r>
      <w:r w:rsidR="00087342">
        <w:rPr>
          <w:rFonts w:ascii="Calibri" w:eastAsia="Times New Roman" w:hAnsi="Calibri" w:cs="Calibri"/>
          <w:b/>
          <w:bCs/>
          <w:color w:val="000000"/>
          <w:lang w:eastAsia="en-GB"/>
        </w:rPr>
        <w:t>6</w:t>
      </w:r>
      <w:r w:rsidR="00087342" w:rsidRPr="003A74AE">
        <w:rPr>
          <w:rFonts w:ascii="Calibri" w:eastAsia="Times New Roman" w:hAnsi="Calibri" w:cs="Calibri"/>
          <w:b/>
          <w:bCs/>
          <w:color w:val="000000"/>
          <w:lang w:eastAsia="en-GB"/>
        </w:rPr>
        <w:t xml:space="preserve"> </w:t>
      </w:r>
      <w:r w:rsidRPr="003A74AE">
        <w:rPr>
          <w:rFonts w:ascii="Calibri" w:eastAsia="Times New Roman" w:hAnsi="Calibri" w:cs="Calibri"/>
          <w:b/>
          <w:bCs/>
          <w:color w:val="000000"/>
          <w:lang w:eastAsia="en-GB"/>
        </w:rPr>
        <w:t>required to have a Due Diligence Statement?</w:t>
      </w:r>
      <w:r w:rsidRPr="003A74AE">
        <w:rPr>
          <w:rFonts w:ascii="Calibri" w:eastAsia="Times New Roman" w:hAnsi="Calibri" w:cs="Calibri"/>
          <w:color w:val="000000"/>
          <w:lang w:eastAsia="en-GB"/>
        </w:rPr>
        <w:br/>
        <w:t>In such cases the harvested timber and the products manufactured from such timber must comply with EUTR. They do not need a Due Diligence Statement, as requirement applies to products in scope of EUDR.</w:t>
      </w:r>
      <w:r w:rsidRPr="003A74AE">
        <w:rPr>
          <w:rFonts w:ascii="Calibri" w:eastAsia="Times New Roman" w:hAnsi="Calibri" w:cs="Calibri"/>
          <w:color w:val="000000"/>
          <w:lang w:eastAsia="en-GB"/>
        </w:rPr>
        <w:br/>
      </w:r>
      <w:r w:rsidRPr="003A74AE">
        <w:rPr>
          <w:rFonts w:ascii="Calibri" w:eastAsia="Times New Roman" w:hAnsi="Calibri" w:cs="Calibri"/>
          <w:color w:val="000000"/>
          <w:lang w:eastAsia="en-GB"/>
        </w:rPr>
        <w:br/>
        <w:t>The table below demonstrates the applicable legislation to timber products covered by the Annex of Regulations (EU) No 995/2010:</w:t>
      </w:r>
    </w:p>
    <w:p w14:paraId="497773CC" w14:textId="77777777" w:rsidR="003A74AE" w:rsidRDefault="003A74AE" w:rsidP="0011010E">
      <w:pPr>
        <w:jc w:val="center"/>
      </w:pPr>
    </w:p>
    <w:tbl>
      <w:tblPr>
        <w:tblW w:w="10348" w:type="dxa"/>
        <w:tblLook w:val="04A0" w:firstRow="1" w:lastRow="0" w:firstColumn="1" w:lastColumn="0" w:noHBand="0" w:noVBand="1"/>
      </w:tblPr>
      <w:tblGrid>
        <w:gridCol w:w="1740"/>
        <w:gridCol w:w="1740"/>
        <w:gridCol w:w="3183"/>
        <w:gridCol w:w="3685"/>
      </w:tblGrid>
      <w:tr w:rsidR="003A74AE" w:rsidRPr="003A74AE" w14:paraId="7C52E0D5" w14:textId="77777777" w:rsidTr="00036F0A">
        <w:trPr>
          <w:trHeight w:val="744"/>
        </w:trPr>
        <w:tc>
          <w:tcPr>
            <w:tcW w:w="1740" w:type="dxa"/>
            <w:tcBorders>
              <w:top w:val="nil"/>
              <w:left w:val="nil"/>
              <w:bottom w:val="nil"/>
              <w:right w:val="nil"/>
            </w:tcBorders>
            <w:noWrap/>
            <w:vAlign w:val="bottom"/>
            <w:hideMark/>
          </w:tcPr>
          <w:p w14:paraId="55CFF404" w14:textId="77777777" w:rsidR="003A74AE" w:rsidRPr="003A74AE" w:rsidRDefault="003A74AE" w:rsidP="003A74AE">
            <w:pPr>
              <w:widowControl/>
              <w:autoSpaceDE/>
              <w:autoSpaceDN/>
              <w:rPr>
                <w:rFonts w:ascii="Times New Roman" w:eastAsia="Times New Roman" w:hAnsi="Times New Roman" w:cs="Times New Roman"/>
                <w:sz w:val="24"/>
                <w:szCs w:val="24"/>
                <w:lang w:eastAsia="en-GB"/>
              </w:rPr>
            </w:pPr>
          </w:p>
        </w:tc>
        <w:tc>
          <w:tcPr>
            <w:tcW w:w="1740" w:type="dxa"/>
            <w:tcBorders>
              <w:top w:val="nil"/>
              <w:left w:val="nil"/>
              <w:bottom w:val="nil"/>
              <w:right w:val="nil"/>
            </w:tcBorders>
            <w:noWrap/>
            <w:vAlign w:val="bottom"/>
            <w:hideMark/>
          </w:tcPr>
          <w:p w14:paraId="25D11113" w14:textId="77777777" w:rsidR="003A74AE" w:rsidRPr="003A74AE" w:rsidRDefault="003A74AE" w:rsidP="003A74AE">
            <w:pPr>
              <w:widowControl/>
              <w:autoSpaceDE/>
              <w:autoSpaceDN/>
              <w:rPr>
                <w:rFonts w:ascii="Times New Roman" w:eastAsia="Times New Roman" w:hAnsi="Times New Roman" w:cs="Times New Roman"/>
                <w:sz w:val="20"/>
                <w:szCs w:val="20"/>
                <w:lang w:eastAsia="en-GB"/>
              </w:rPr>
            </w:pPr>
          </w:p>
        </w:tc>
        <w:tc>
          <w:tcPr>
            <w:tcW w:w="6868" w:type="dxa"/>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14:paraId="6088D4A6" w14:textId="77777777" w:rsidR="003A74AE" w:rsidRPr="003A74AE" w:rsidRDefault="003A74AE" w:rsidP="003A74AE">
            <w:pPr>
              <w:widowControl/>
              <w:autoSpaceDE/>
              <w:autoSpaceDN/>
              <w:jc w:val="center"/>
              <w:rPr>
                <w:rFonts w:ascii="Calibri" w:eastAsia="Times New Roman" w:hAnsi="Calibri" w:cs="Calibri"/>
                <w:b/>
                <w:bCs/>
                <w:color w:val="000000"/>
                <w:lang w:eastAsia="en-GB"/>
              </w:rPr>
            </w:pPr>
            <w:r w:rsidRPr="003A74AE">
              <w:rPr>
                <w:rFonts w:ascii="Calibri" w:eastAsia="Times New Roman" w:hAnsi="Calibri" w:cs="Calibri"/>
                <w:b/>
                <w:bCs/>
                <w:color w:val="000000"/>
                <w:lang w:eastAsia="en-GB"/>
              </w:rPr>
              <w:t xml:space="preserve">Date of placing relevant commodity or relevant product </w:t>
            </w:r>
            <w:r w:rsidRPr="003A74AE">
              <w:rPr>
                <w:rFonts w:ascii="Calibri" w:eastAsia="Times New Roman" w:hAnsi="Calibri" w:cs="Calibri"/>
                <w:b/>
                <w:bCs/>
                <w:color w:val="000000"/>
                <w:lang w:eastAsia="en-GB"/>
              </w:rPr>
              <w:br/>
              <w:t>on the EU market</w:t>
            </w:r>
          </w:p>
        </w:tc>
      </w:tr>
      <w:tr w:rsidR="00140D97" w:rsidRPr="003A74AE" w14:paraId="70C708BD" w14:textId="77777777" w:rsidTr="00036F0A">
        <w:trPr>
          <w:trHeight w:val="1440"/>
        </w:trPr>
        <w:tc>
          <w:tcPr>
            <w:tcW w:w="174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288473D" w14:textId="77777777" w:rsidR="00140D97" w:rsidRPr="003A74AE" w:rsidRDefault="00140D97" w:rsidP="003A74AE">
            <w:pPr>
              <w:widowControl/>
              <w:autoSpaceDE/>
              <w:autoSpaceDN/>
              <w:jc w:val="center"/>
              <w:rPr>
                <w:rFonts w:ascii="Calibri" w:eastAsia="Times New Roman" w:hAnsi="Calibri" w:cs="Calibri"/>
                <w:b/>
                <w:bCs/>
                <w:color w:val="000000"/>
                <w:lang w:eastAsia="en-GB"/>
              </w:rPr>
            </w:pPr>
            <w:r w:rsidRPr="003A74AE">
              <w:rPr>
                <w:rFonts w:ascii="Calibri" w:eastAsia="Times New Roman" w:hAnsi="Calibri" w:cs="Calibri"/>
                <w:b/>
                <w:bCs/>
                <w:color w:val="000000"/>
                <w:lang w:eastAsia="en-GB"/>
              </w:rPr>
              <w:t xml:space="preserve">Relevant </w:t>
            </w:r>
            <w:r w:rsidRPr="003A74AE">
              <w:rPr>
                <w:rFonts w:ascii="Calibri" w:eastAsia="Times New Roman" w:hAnsi="Calibri" w:cs="Calibri"/>
                <w:b/>
                <w:bCs/>
                <w:color w:val="000000"/>
                <w:lang w:eastAsia="en-GB"/>
              </w:rPr>
              <w:br/>
              <w:t>products</w:t>
            </w:r>
          </w:p>
        </w:tc>
        <w:tc>
          <w:tcPr>
            <w:tcW w:w="1740" w:type="dxa"/>
            <w:tcBorders>
              <w:top w:val="single" w:sz="8" w:space="0" w:color="auto"/>
              <w:left w:val="nil"/>
              <w:bottom w:val="single" w:sz="8" w:space="0" w:color="auto"/>
              <w:right w:val="single" w:sz="8" w:space="0" w:color="auto"/>
            </w:tcBorders>
            <w:shd w:val="clear" w:color="000000" w:fill="F2F2F2"/>
            <w:vAlign w:val="center"/>
            <w:hideMark/>
          </w:tcPr>
          <w:p w14:paraId="1121AC61" w14:textId="0AB04018" w:rsidR="00140D97" w:rsidRPr="003A74AE" w:rsidRDefault="00140D97" w:rsidP="003A74AE">
            <w:pPr>
              <w:widowControl/>
              <w:autoSpaceDE/>
              <w:autoSpaceDN/>
              <w:jc w:val="center"/>
              <w:rPr>
                <w:rFonts w:ascii="Calibri" w:eastAsia="Times New Roman" w:hAnsi="Calibri" w:cs="Calibri"/>
                <w:b/>
                <w:bCs/>
                <w:color w:val="000000"/>
                <w:lang w:eastAsia="en-GB"/>
              </w:rPr>
            </w:pPr>
            <w:r w:rsidRPr="00EA534E">
              <w:rPr>
                <w:rFonts w:ascii="Calibri" w:eastAsia="Times New Roman" w:hAnsi="Calibri" w:cs="Calibri"/>
                <w:b/>
                <w:bCs/>
                <w:color w:val="000000"/>
                <w:lang w:eastAsia="en-GB"/>
              </w:rPr>
              <w:t>Date of production of relevant commodity</w:t>
            </w:r>
          </w:p>
        </w:tc>
        <w:tc>
          <w:tcPr>
            <w:tcW w:w="3183" w:type="dxa"/>
            <w:tcBorders>
              <w:top w:val="nil"/>
              <w:left w:val="nil"/>
              <w:bottom w:val="single" w:sz="8" w:space="0" w:color="auto"/>
              <w:right w:val="single" w:sz="8" w:space="0" w:color="auto"/>
            </w:tcBorders>
            <w:shd w:val="clear" w:color="000000" w:fill="F2F2F2"/>
            <w:vAlign w:val="center"/>
            <w:hideMark/>
          </w:tcPr>
          <w:p w14:paraId="53DEC813" w14:textId="074FBF9B" w:rsidR="00140D97" w:rsidRPr="003A74AE" w:rsidRDefault="00036F0A" w:rsidP="003A74AE">
            <w:pPr>
              <w:widowControl/>
              <w:autoSpaceDE/>
              <w:autoSpaceDN/>
              <w:jc w:val="center"/>
              <w:rPr>
                <w:rFonts w:ascii="Calibri" w:eastAsia="Times New Roman" w:hAnsi="Calibri" w:cs="Calibri"/>
                <w:b/>
                <w:bCs/>
                <w:color w:val="000000"/>
                <w:lang w:eastAsia="en-GB"/>
              </w:rPr>
            </w:pPr>
            <w:r w:rsidRPr="00036F0A">
              <w:rPr>
                <w:rFonts w:ascii="Calibri" w:eastAsia="Times New Roman" w:hAnsi="Calibri" w:cs="Calibri"/>
                <w:b/>
                <w:bCs/>
                <w:color w:val="000000"/>
                <w:lang w:eastAsia="en-GB"/>
              </w:rPr>
              <w:t>Before 30 December 2026, and before 30 June 2027 for micro- and small operators</w:t>
            </w:r>
          </w:p>
        </w:tc>
        <w:tc>
          <w:tcPr>
            <w:tcW w:w="3685" w:type="dxa"/>
            <w:tcBorders>
              <w:top w:val="nil"/>
              <w:left w:val="nil"/>
              <w:bottom w:val="single" w:sz="8" w:space="0" w:color="auto"/>
              <w:right w:val="single" w:sz="8" w:space="0" w:color="auto"/>
            </w:tcBorders>
            <w:shd w:val="clear" w:color="000000" w:fill="F2F2F2"/>
            <w:vAlign w:val="center"/>
            <w:hideMark/>
          </w:tcPr>
          <w:p w14:paraId="24AE5BA4" w14:textId="1800C789" w:rsidR="00140D97" w:rsidRPr="003A74AE" w:rsidRDefault="00C0356A" w:rsidP="003A74AE">
            <w:pPr>
              <w:widowControl/>
              <w:autoSpaceDE/>
              <w:autoSpaceDN/>
              <w:jc w:val="center"/>
              <w:rPr>
                <w:rFonts w:ascii="Calibri" w:eastAsia="Times New Roman" w:hAnsi="Calibri" w:cs="Calibri"/>
                <w:b/>
                <w:bCs/>
                <w:color w:val="000000"/>
                <w:lang w:eastAsia="en-GB"/>
              </w:rPr>
            </w:pPr>
            <w:r w:rsidRPr="00C0356A">
              <w:rPr>
                <w:rFonts w:ascii="Calibri" w:eastAsia="Times New Roman" w:hAnsi="Calibri" w:cs="Calibri"/>
                <w:b/>
                <w:bCs/>
                <w:color w:val="000000"/>
                <w:lang w:eastAsia="en-GB"/>
              </w:rPr>
              <w:t>From 30 December 2026 (inclusive) for large and medium enterprises, and from 30 June 2027 (inclusive) for micro- and small operators</w:t>
            </w:r>
          </w:p>
        </w:tc>
      </w:tr>
      <w:tr w:rsidR="00140D97" w:rsidRPr="003A74AE" w14:paraId="4EAAEB7D" w14:textId="77777777" w:rsidTr="00036F0A">
        <w:trPr>
          <w:trHeight w:val="1440"/>
        </w:trPr>
        <w:tc>
          <w:tcPr>
            <w:tcW w:w="1740" w:type="dxa"/>
            <w:vMerge w:val="restart"/>
            <w:tcBorders>
              <w:top w:val="nil"/>
              <w:left w:val="single" w:sz="8" w:space="0" w:color="auto"/>
              <w:bottom w:val="single" w:sz="8" w:space="0" w:color="auto"/>
              <w:right w:val="single" w:sz="8" w:space="0" w:color="auto"/>
            </w:tcBorders>
            <w:shd w:val="clear" w:color="000000" w:fill="F2F2F2"/>
            <w:vAlign w:val="center"/>
            <w:hideMark/>
          </w:tcPr>
          <w:p w14:paraId="1EA733BF" w14:textId="7E3943F8" w:rsidR="00140D97" w:rsidRPr="003A74AE" w:rsidRDefault="00140D97" w:rsidP="003A74AE">
            <w:pPr>
              <w:widowControl/>
              <w:autoSpaceDE/>
              <w:autoSpaceDN/>
              <w:jc w:val="center"/>
              <w:rPr>
                <w:rFonts w:ascii="Calibri" w:eastAsia="Times New Roman" w:hAnsi="Calibri" w:cs="Calibri"/>
                <w:b/>
                <w:bCs/>
                <w:color w:val="000000"/>
                <w:lang w:eastAsia="en-GB"/>
              </w:rPr>
            </w:pPr>
            <w:r w:rsidRPr="004114B0">
              <w:rPr>
                <w:rFonts w:ascii="Calibri" w:eastAsia="Times New Roman" w:hAnsi="Calibri" w:cs="Calibri"/>
                <w:b/>
                <w:bCs/>
                <w:color w:val="000000"/>
                <w:lang w:eastAsia="en-GB"/>
              </w:rPr>
              <w:t>Wood products listed in Annex I of Regulation (EU) 2023/1115 and not listed in the Annex of Regulation No 995/2010 (EUTR)</w:t>
            </w:r>
          </w:p>
        </w:tc>
        <w:tc>
          <w:tcPr>
            <w:tcW w:w="1740" w:type="dxa"/>
            <w:tcBorders>
              <w:top w:val="nil"/>
              <w:left w:val="nil"/>
              <w:bottom w:val="single" w:sz="4" w:space="0" w:color="auto"/>
              <w:right w:val="single" w:sz="8" w:space="0" w:color="auto"/>
            </w:tcBorders>
            <w:vAlign w:val="center"/>
            <w:hideMark/>
          </w:tcPr>
          <w:p w14:paraId="0F78EE3F" w14:textId="77777777" w:rsidR="00140D97" w:rsidRPr="003A74AE" w:rsidRDefault="00140D97" w:rsidP="003A74AE">
            <w:pPr>
              <w:widowControl/>
              <w:autoSpaceDE/>
              <w:autoSpaceDN/>
              <w:jc w:val="center"/>
              <w:rPr>
                <w:rFonts w:ascii="Calibri" w:eastAsia="Times New Roman" w:hAnsi="Calibri" w:cs="Calibri"/>
                <w:color w:val="000000"/>
                <w:lang w:eastAsia="en-GB"/>
              </w:rPr>
            </w:pPr>
            <w:r w:rsidRPr="003A74AE">
              <w:rPr>
                <w:rFonts w:ascii="Calibri" w:eastAsia="Times New Roman" w:hAnsi="Calibri" w:cs="Calibri"/>
                <w:color w:val="000000"/>
                <w:lang w:eastAsia="en-GB"/>
              </w:rPr>
              <w:t>Before 29 June 2023</w:t>
            </w:r>
          </w:p>
        </w:tc>
        <w:tc>
          <w:tcPr>
            <w:tcW w:w="3183" w:type="dxa"/>
            <w:tcBorders>
              <w:top w:val="nil"/>
              <w:left w:val="nil"/>
              <w:bottom w:val="single" w:sz="4" w:space="0" w:color="auto"/>
              <w:right w:val="single" w:sz="8" w:space="0" w:color="auto"/>
            </w:tcBorders>
            <w:vAlign w:val="center"/>
            <w:hideMark/>
          </w:tcPr>
          <w:p w14:paraId="2D58A1C8" w14:textId="27E9770D" w:rsidR="00140D97" w:rsidRPr="003A74AE" w:rsidRDefault="00140D97" w:rsidP="003A74AE">
            <w:pPr>
              <w:widowControl/>
              <w:autoSpaceDE/>
              <w:autoSpaceDN/>
              <w:jc w:val="center"/>
              <w:rPr>
                <w:rFonts w:ascii="Calibri" w:eastAsia="Times New Roman" w:hAnsi="Calibri" w:cs="Calibri"/>
                <w:color w:val="000000"/>
                <w:lang w:eastAsia="en-GB"/>
              </w:rPr>
            </w:pPr>
            <w:r w:rsidRPr="00311D1E">
              <w:rPr>
                <w:rFonts w:ascii="Calibri" w:eastAsia="Times New Roman" w:hAnsi="Calibri" w:cs="Calibri"/>
                <w:color w:val="000000"/>
                <w:lang w:eastAsia="en-GB"/>
              </w:rPr>
              <w:t>Regulation (EU) 2023/1115 (EUDR) is not applicable</w:t>
            </w:r>
          </w:p>
        </w:tc>
        <w:tc>
          <w:tcPr>
            <w:tcW w:w="3685" w:type="dxa"/>
            <w:tcBorders>
              <w:top w:val="nil"/>
              <w:left w:val="nil"/>
              <w:bottom w:val="single" w:sz="4" w:space="0" w:color="auto"/>
              <w:right w:val="single" w:sz="8" w:space="0" w:color="auto"/>
            </w:tcBorders>
            <w:vAlign w:val="center"/>
            <w:hideMark/>
          </w:tcPr>
          <w:p w14:paraId="3C4346A7" w14:textId="68C8E887" w:rsidR="00140D97" w:rsidRPr="003A74AE" w:rsidRDefault="00140D97" w:rsidP="003A74AE">
            <w:pPr>
              <w:widowControl/>
              <w:autoSpaceDE/>
              <w:autoSpaceDN/>
              <w:jc w:val="center"/>
              <w:rPr>
                <w:rFonts w:ascii="Calibri" w:eastAsia="Times New Roman" w:hAnsi="Calibri" w:cs="Calibri"/>
                <w:color w:val="000000"/>
                <w:lang w:eastAsia="en-GB"/>
              </w:rPr>
            </w:pPr>
            <w:r w:rsidRPr="00140D97">
              <w:rPr>
                <w:rFonts w:ascii="Calibri" w:eastAsia="Times New Roman" w:hAnsi="Calibri" w:cs="Calibri"/>
                <w:color w:val="000000"/>
                <w:lang w:eastAsia="en-GB"/>
              </w:rPr>
              <w:t>Regulation (EU) 2023/1115 (EUDR) is not applicable</w:t>
            </w:r>
          </w:p>
        </w:tc>
      </w:tr>
      <w:tr w:rsidR="00140D97" w:rsidRPr="003A74AE" w14:paraId="1F778BD2" w14:textId="77777777" w:rsidTr="00036F0A">
        <w:trPr>
          <w:trHeight w:val="1440"/>
        </w:trPr>
        <w:tc>
          <w:tcPr>
            <w:tcW w:w="1740" w:type="dxa"/>
            <w:vMerge/>
            <w:tcBorders>
              <w:top w:val="nil"/>
              <w:left w:val="single" w:sz="8" w:space="0" w:color="auto"/>
              <w:bottom w:val="single" w:sz="8" w:space="0" w:color="auto"/>
              <w:right w:val="single" w:sz="8" w:space="0" w:color="auto"/>
            </w:tcBorders>
            <w:vAlign w:val="center"/>
            <w:hideMark/>
          </w:tcPr>
          <w:p w14:paraId="0E19093C" w14:textId="77777777" w:rsidR="00140D97" w:rsidRPr="003A74AE" w:rsidRDefault="00140D97" w:rsidP="003A74AE">
            <w:pPr>
              <w:widowControl/>
              <w:autoSpaceDE/>
              <w:autoSpaceDN/>
              <w:rPr>
                <w:rFonts w:ascii="Calibri" w:eastAsia="Times New Roman" w:hAnsi="Calibri" w:cs="Calibri"/>
                <w:b/>
                <w:bCs/>
                <w:color w:val="000000"/>
                <w:lang w:eastAsia="en-GB"/>
              </w:rPr>
            </w:pPr>
          </w:p>
        </w:tc>
        <w:tc>
          <w:tcPr>
            <w:tcW w:w="1740" w:type="dxa"/>
            <w:tcBorders>
              <w:top w:val="nil"/>
              <w:left w:val="nil"/>
              <w:bottom w:val="single" w:sz="8" w:space="0" w:color="auto"/>
              <w:right w:val="single" w:sz="8" w:space="0" w:color="auto"/>
            </w:tcBorders>
            <w:vAlign w:val="center"/>
            <w:hideMark/>
          </w:tcPr>
          <w:p w14:paraId="7183E8B5" w14:textId="77777777" w:rsidR="00140D97" w:rsidRPr="003A74AE" w:rsidRDefault="00140D97" w:rsidP="003A74AE">
            <w:pPr>
              <w:widowControl/>
              <w:autoSpaceDE/>
              <w:autoSpaceDN/>
              <w:jc w:val="center"/>
              <w:rPr>
                <w:rFonts w:ascii="Calibri" w:eastAsia="Times New Roman" w:hAnsi="Calibri" w:cs="Calibri"/>
                <w:color w:val="000000"/>
                <w:lang w:eastAsia="en-GB"/>
              </w:rPr>
            </w:pPr>
            <w:r w:rsidRPr="003A74AE">
              <w:rPr>
                <w:rFonts w:ascii="Calibri" w:eastAsia="Times New Roman" w:hAnsi="Calibri" w:cs="Calibri"/>
                <w:color w:val="000000"/>
                <w:lang w:eastAsia="en-GB"/>
              </w:rPr>
              <w:t>From 29 June</w:t>
            </w:r>
            <w:r w:rsidRPr="003A74AE">
              <w:rPr>
                <w:rFonts w:ascii="Calibri" w:eastAsia="Times New Roman" w:hAnsi="Calibri" w:cs="Calibri"/>
                <w:color w:val="000000"/>
                <w:lang w:eastAsia="en-GB"/>
              </w:rPr>
              <w:br/>
              <w:t>2023 (inclusive)</w:t>
            </w:r>
          </w:p>
        </w:tc>
        <w:tc>
          <w:tcPr>
            <w:tcW w:w="3183" w:type="dxa"/>
            <w:tcBorders>
              <w:top w:val="nil"/>
              <w:left w:val="nil"/>
              <w:bottom w:val="single" w:sz="8" w:space="0" w:color="auto"/>
              <w:right w:val="single" w:sz="8" w:space="0" w:color="auto"/>
            </w:tcBorders>
            <w:vAlign w:val="center"/>
            <w:hideMark/>
          </w:tcPr>
          <w:p w14:paraId="6C836482" w14:textId="7464D53A" w:rsidR="00140D97" w:rsidRPr="003A74AE" w:rsidRDefault="00140D97" w:rsidP="003A74AE">
            <w:pPr>
              <w:widowControl/>
              <w:autoSpaceDE/>
              <w:autoSpaceDN/>
              <w:jc w:val="center"/>
              <w:rPr>
                <w:rFonts w:ascii="Calibri" w:eastAsia="Times New Roman" w:hAnsi="Calibri" w:cs="Calibri"/>
                <w:color w:val="000000"/>
                <w:lang w:eastAsia="en-GB"/>
              </w:rPr>
            </w:pPr>
            <w:r w:rsidRPr="00F9479E">
              <w:rPr>
                <w:rFonts w:ascii="Calibri" w:eastAsia="Times New Roman" w:hAnsi="Calibri" w:cs="Calibri"/>
                <w:color w:val="000000"/>
                <w:lang w:eastAsia="en-GB"/>
              </w:rPr>
              <w:t>Regulation (EU) 2023/1115 (EUDR) is not applicable</w:t>
            </w:r>
          </w:p>
        </w:tc>
        <w:tc>
          <w:tcPr>
            <w:tcW w:w="3685" w:type="dxa"/>
            <w:tcBorders>
              <w:top w:val="nil"/>
              <w:left w:val="nil"/>
              <w:bottom w:val="single" w:sz="8" w:space="0" w:color="auto"/>
              <w:right w:val="single" w:sz="8" w:space="0" w:color="auto"/>
            </w:tcBorders>
            <w:vAlign w:val="center"/>
            <w:hideMark/>
          </w:tcPr>
          <w:p w14:paraId="07B3B9B4" w14:textId="017B4014" w:rsidR="00140D97" w:rsidRPr="003A74AE" w:rsidRDefault="00C0356A" w:rsidP="003A74AE">
            <w:pPr>
              <w:widowControl/>
              <w:autoSpaceDE/>
              <w:autoSpaceDN/>
              <w:jc w:val="center"/>
              <w:rPr>
                <w:rFonts w:ascii="Calibri" w:eastAsia="Times New Roman" w:hAnsi="Calibri" w:cs="Calibri"/>
                <w:b/>
                <w:bCs/>
                <w:color w:val="000000"/>
                <w:lang w:eastAsia="en-GB"/>
              </w:rPr>
            </w:pPr>
            <w:r w:rsidRPr="00C0356A">
              <w:rPr>
                <w:rFonts w:ascii="Calibri" w:eastAsia="Times New Roman" w:hAnsi="Calibri" w:cs="Calibri"/>
                <w:b/>
                <w:bCs/>
                <w:color w:val="000000"/>
                <w:lang w:eastAsia="en-GB"/>
              </w:rPr>
              <w:t>Regulation (EU) 2023/1115 (EUDR) is applicable</w:t>
            </w:r>
          </w:p>
        </w:tc>
      </w:tr>
    </w:tbl>
    <w:p w14:paraId="627D9049" w14:textId="77777777" w:rsidR="003A74AE" w:rsidRDefault="003A74AE" w:rsidP="0011010E">
      <w:pPr>
        <w:jc w:val="center"/>
      </w:pPr>
    </w:p>
    <w:p w14:paraId="23B14A46" w14:textId="020A7CF9" w:rsidR="164D15C9" w:rsidRDefault="164D15C9"/>
    <w:p w14:paraId="1F87019F" w14:textId="40A997F6" w:rsidR="1A10BA03" w:rsidRDefault="1A10BA03" w:rsidP="164D15C9">
      <w:r w:rsidRPr="164D15C9">
        <w:t>The T&amp;FWG have researched this area extensively to try and provide guidance for the reader. Here are the points that could be established:</w:t>
      </w:r>
    </w:p>
    <w:p w14:paraId="0CDE8878" w14:textId="449E5543" w:rsidR="164D15C9" w:rsidRDefault="164D15C9" w:rsidP="164D15C9"/>
    <w:p w14:paraId="2EE80D58" w14:textId="47B5E068" w:rsidR="47AF4084" w:rsidRDefault="47AF4084" w:rsidP="164D15C9">
      <w:pPr>
        <w:pStyle w:val="ListParagraph"/>
        <w:numPr>
          <w:ilvl w:val="0"/>
          <w:numId w:val="9"/>
        </w:numPr>
      </w:pPr>
      <w:r w:rsidRPr="164D15C9">
        <w:t xml:space="preserve">The EU </w:t>
      </w:r>
      <w:r w:rsidR="002302C6" w:rsidRPr="164D15C9">
        <w:t>Commission</w:t>
      </w:r>
      <w:r w:rsidRPr="164D15C9">
        <w:t xml:space="preserve"> is going to provide a</w:t>
      </w:r>
      <w:r w:rsidR="08A6F9D5" w:rsidRPr="164D15C9">
        <w:t xml:space="preserve"> “conventional EU reference number” to be used for EU </w:t>
      </w:r>
      <w:r w:rsidR="08A6F9D5" w:rsidRPr="164D15C9">
        <w:lastRenderedPageBreak/>
        <w:t>transition stocks to be issued in the next set of FAQs from the EU, due to be published in September</w:t>
      </w:r>
      <w:r w:rsidR="007F0B8E">
        <w:t xml:space="preserve"> 2026</w:t>
      </w:r>
      <w:r w:rsidR="3F5DE234" w:rsidRPr="164D15C9">
        <w:t>,</w:t>
      </w:r>
    </w:p>
    <w:p w14:paraId="128E1690" w14:textId="6056A17C" w:rsidR="46452840" w:rsidRDefault="0181D08F" w:rsidP="164D15C9">
      <w:pPr>
        <w:pStyle w:val="ListParagraph"/>
        <w:numPr>
          <w:ilvl w:val="0"/>
          <w:numId w:val="9"/>
        </w:numPr>
      </w:pPr>
      <w:r>
        <w:t xml:space="preserve">This number </w:t>
      </w:r>
      <w:r w:rsidRPr="005940E7">
        <w:t xml:space="preserve">can </w:t>
      </w:r>
      <w:r w:rsidRPr="005940E7">
        <w:rPr>
          <w:b/>
          <w:bCs/>
          <w:i/>
          <w:iCs/>
        </w:rPr>
        <w:t>only</w:t>
      </w:r>
      <w:r w:rsidRPr="005940E7">
        <w:t xml:space="preserve"> be used </w:t>
      </w:r>
      <w:r>
        <w:t>for</w:t>
      </w:r>
      <w:r w:rsidR="4B75C01F">
        <w:t xml:space="preserve"> timber, pulp and</w:t>
      </w:r>
      <w:r>
        <w:t xml:space="preserve"> paper stock produced in the EU</w:t>
      </w:r>
      <w:r w:rsidR="5E8D6A01">
        <w:t xml:space="preserve"> or placed on the EU market during the transition period</w:t>
      </w:r>
      <w:r w:rsidR="10A594D2">
        <w:t xml:space="preserve"> as it was subject to the European Union Timber Regulation (EUTR)</w:t>
      </w:r>
      <w:r>
        <w:t>.</w:t>
      </w:r>
      <w:r w:rsidR="49106C81">
        <w:t xml:space="preserve"> The main thing is that</w:t>
      </w:r>
      <w:r w:rsidR="00E8690A">
        <w:t xml:space="preserve"> the publisher</w:t>
      </w:r>
      <w:r w:rsidR="49106C81">
        <w:t xml:space="preserve"> </w:t>
      </w:r>
      <w:r w:rsidR="00B25561">
        <w:t xml:space="preserve">must </w:t>
      </w:r>
      <w:r w:rsidR="49106C81">
        <w:t xml:space="preserve">conduct their own due diligence and if they can prove that the papers used in the manufacture </w:t>
      </w:r>
      <w:r w:rsidR="72A26379">
        <w:t xml:space="preserve">of a </w:t>
      </w:r>
      <w:r w:rsidR="007F0B8E">
        <w:t xml:space="preserve">Chapter 48 product </w:t>
      </w:r>
      <w:r w:rsidR="49106C81">
        <w:t>ha</w:t>
      </w:r>
      <w:r w:rsidR="00DB79A8">
        <w:t>ve</w:t>
      </w:r>
      <w:r w:rsidR="49106C81">
        <w:t xml:space="preserve"> not caused </w:t>
      </w:r>
      <w:r w:rsidR="0687C511">
        <w:t>deforestation or land degradation then there will be no problem in selling the stock to the eurozone.</w:t>
      </w:r>
      <w:r>
        <w:t xml:space="preserve"> The number is likely</w:t>
      </w:r>
      <w:r w:rsidR="006529D2">
        <w:t xml:space="preserve"> (but not yet confirmed)</w:t>
      </w:r>
      <w:r>
        <w:t xml:space="preserve"> to take this format </w:t>
      </w:r>
      <w:r w:rsidR="08516773">
        <w:t>99EU9999999999,</w:t>
      </w:r>
    </w:p>
    <w:p w14:paraId="576F1AC8" w14:textId="04E72240" w:rsidR="28B222E0" w:rsidRPr="00AD53F7" w:rsidRDefault="28B222E0" w:rsidP="3A209900">
      <w:pPr>
        <w:pStyle w:val="ListParagraph"/>
        <w:numPr>
          <w:ilvl w:val="0"/>
          <w:numId w:val="9"/>
        </w:numPr>
      </w:pPr>
      <w:r w:rsidRPr="00AD53F7">
        <w:t>This number is to be used in EU Traces to generate a DDS for the product,</w:t>
      </w:r>
    </w:p>
    <w:p w14:paraId="2F4AC556" w14:textId="3EA1B98C" w:rsidR="08A6F9D5" w:rsidRDefault="08A6F9D5" w:rsidP="164D15C9">
      <w:pPr>
        <w:pStyle w:val="ListParagraph"/>
        <w:numPr>
          <w:ilvl w:val="0"/>
          <w:numId w:val="9"/>
        </w:numPr>
        <w:rPr>
          <w:rFonts w:ascii="Calibri" w:eastAsia="Calibri" w:hAnsi="Calibri" w:cs="Calibri"/>
          <w:color w:val="0070C0"/>
        </w:rPr>
      </w:pPr>
      <w:r w:rsidRPr="00AD53F7">
        <w:t xml:space="preserve">This </w:t>
      </w:r>
      <w:r w:rsidR="34857A82" w:rsidRPr="164D15C9">
        <w:t xml:space="preserve">number </w:t>
      </w:r>
      <w:r w:rsidRPr="164D15C9">
        <w:t xml:space="preserve">cannot be applied to non-EU </w:t>
      </w:r>
      <w:r w:rsidR="360BA2C9" w:rsidRPr="164D15C9">
        <w:t>sources,</w:t>
      </w:r>
      <w:r w:rsidRPr="164D15C9">
        <w:t xml:space="preserve"> </w:t>
      </w:r>
    </w:p>
    <w:p w14:paraId="7601B197" w14:textId="73A22F26" w:rsidR="228F5D39" w:rsidRDefault="228F5D39" w:rsidP="164D15C9">
      <w:pPr>
        <w:pStyle w:val="ListParagraph"/>
        <w:numPr>
          <w:ilvl w:val="0"/>
          <w:numId w:val="9"/>
        </w:numPr>
      </w:pPr>
      <w:r>
        <w:t>It is not possible to</w:t>
      </w:r>
      <w:r w:rsidR="08A6F9D5">
        <w:t xml:space="preserve"> extend the transition stocks allowance for the EU, to non-EU countries (or specifically the UK), </w:t>
      </w:r>
      <w:r w:rsidR="569DED45">
        <w:t xml:space="preserve">due to </w:t>
      </w:r>
      <w:r w:rsidR="08A6F9D5">
        <w:t>auditing</w:t>
      </w:r>
      <w:r w:rsidR="7046D40F">
        <w:t xml:space="preserve"> concerns</w:t>
      </w:r>
      <w:r w:rsidR="08A6F9D5">
        <w:t>. The competent authorities, responsible for auditing EUDR, do not have any way of checking that product is produced during the transition period or according to EUTR, if it comes from outside the EU, as they do not have jurisdiction to audit those countries. Hence, if a code existed for non-EU transition stocks, they could not validate how that code is being applied</w:t>
      </w:r>
      <w:r w:rsidR="6F589860">
        <w:t>,</w:t>
      </w:r>
    </w:p>
    <w:p w14:paraId="3929693D" w14:textId="758E23BC" w:rsidR="228F5D39" w:rsidRDefault="6F589860" w:rsidP="164D15C9">
      <w:pPr>
        <w:pStyle w:val="ListParagraph"/>
        <w:numPr>
          <w:ilvl w:val="0"/>
          <w:numId w:val="9"/>
        </w:numPr>
      </w:pPr>
      <w:r>
        <w:t>The T&amp;FWG have been told by the various mills that they are having conversations with</w:t>
      </w:r>
      <w:r w:rsidR="60C58848">
        <w:t>,</w:t>
      </w:r>
      <w:r>
        <w:t xml:space="preserve"> that the mills priority is to be ready for EUDR go-live on the 30 December </w:t>
      </w:r>
      <w:r w:rsidR="001827FF">
        <w:t>2026</w:t>
      </w:r>
      <w:r>
        <w:t xml:space="preserve">. They are not looking </w:t>
      </w:r>
      <w:r w:rsidR="79E38186">
        <w:t>back retrospectively at stock they have already sold</w:t>
      </w:r>
      <w:r w:rsidR="489E0C63">
        <w:t>.</w:t>
      </w:r>
    </w:p>
    <w:p w14:paraId="57EBE2FC" w14:textId="5088160F" w:rsidR="3A209900" w:rsidRDefault="3A209900" w:rsidP="3A209900"/>
    <w:p w14:paraId="7BE71AFA" w14:textId="09A03D1D" w:rsidR="489E0C63" w:rsidRDefault="73EF917E" w:rsidP="164D15C9">
      <w:pPr>
        <w:spacing w:line="259" w:lineRule="auto"/>
      </w:pPr>
      <w:r>
        <w:t xml:space="preserve">The T&amp;FWG acknowledges that this a huge issue for the </w:t>
      </w:r>
      <w:r w:rsidR="00002A67">
        <w:t xml:space="preserve">areas of </w:t>
      </w:r>
      <w:r>
        <w:t>UK publishing industry</w:t>
      </w:r>
      <w:r w:rsidR="00002A67">
        <w:t xml:space="preserve"> producing Chapter 48 products</w:t>
      </w:r>
      <w:r>
        <w:t xml:space="preserve">. </w:t>
      </w:r>
      <w:r w:rsidR="1FEB0EF3">
        <w:t xml:space="preserve">The only advice that the T&amp;FWG can give </w:t>
      </w:r>
      <w:r w:rsidR="00901260">
        <w:t xml:space="preserve">at this time </w:t>
      </w:r>
      <w:r w:rsidR="00E5557E">
        <w:t xml:space="preserve">of writing </w:t>
      </w:r>
      <w:r w:rsidR="1FEB0EF3">
        <w:t>is that all publishers need to conduct a risk assessment into their own stock and decide on what they are going to do with it.</w:t>
      </w:r>
      <w:r w:rsidR="2C2EEA6F">
        <w:t xml:space="preserve"> Publishers might also want to contact their legal representative.</w:t>
      </w:r>
    </w:p>
    <w:p w14:paraId="5F101CDA" w14:textId="70C17C70" w:rsidR="337696F5" w:rsidRDefault="337696F5" w:rsidP="337696F5">
      <w:pPr>
        <w:spacing w:line="259" w:lineRule="auto"/>
      </w:pPr>
    </w:p>
    <w:p w14:paraId="71F7CD43" w14:textId="2219FE8D" w:rsidR="4BB178ED" w:rsidRDefault="4BB178ED" w:rsidP="337696F5">
      <w:pPr>
        <w:spacing w:line="259" w:lineRule="auto"/>
      </w:pPr>
      <w:r>
        <w:t>This is a constantly changing landscape and organisations are working on solutions for products that fall in</w:t>
      </w:r>
      <w:r w:rsidR="001D239D">
        <w:t>to</w:t>
      </w:r>
      <w:r>
        <w:t xml:space="preserve"> the transition period.</w:t>
      </w:r>
    </w:p>
    <w:p w14:paraId="3CAC168C" w14:textId="71D16EC9" w:rsidR="0A88F668" w:rsidRDefault="0A88F668" w:rsidP="0A88F668"/>
    <w:p w14:paraId="0768DC86" w14:textId="0DDF32F5" w:rsidR="00E14F13" w:rsidRDefault="2237E80C" w:rsidP="00E14F13">
      <w:pPr>
        <w:pStyle w:val="Heading1"/>
      </w:pPr>
      <w:bookmarkStart w:id="41" w:name="_Toc237262967"/>
      <w:r>
        <w:t xml:space="preserve">Risk assessment document for stock </w:t>
      </w:r>
      <w:r w:rsidR="003057D2">
        <w:t xml:space="preserve">of Chapter 48 products </w:t>
      </w:r>
      <w:r>
        <w:t>currently in warehouses</w:t>
      </w:r>
      <w:bookmarkEnd w:id="41"/>
    </w:p>
    <w:p w14:paraId="161F67B8" w14:textId="558978DD" w:rsidR="0A88F668" w:rsidRDefault="0A88F668" w:rsidP="0A88F668"/>
    <w:p w14:paraId="3BB82B9B" w14:textId="74A01B55" w:rsidR="0A88F668" w:rsidRDefault="36870EAE" w:rsidP="0A88F668">
      <w:r>
        <w:t xml:space="preserve">Publishers are going to have to decide what they are going to do with the stock </w:t>
      </w:r>
      <w:r w:rsidR="0012552D">
        <w:t xml:space="preserve">of Chapter 48 </w:t>
      </w:r>
      <w:r w:rsidR="2C3777B2">
        <w:t>product</w:t>
      </w:r>
      <w:r w:rsidR="003A51FA">
        <w:t xml:space="preserve"> already in their warehouses/distribution centres</w:t>
      </w:r>
      <w:r w:rsidR="2C3777B2">
        <w:t>. One option is to conduct a risk assessment to see how compliant their product is</w:t>
      </w:r>
      <w:r w:rsidR="36B04E0B">
        <w:t>. Do they have enough information</w:t>
      </w:r>
      <w:r w:rsidR="005D49BC">
        <w:t>/documentation</w:t>
      </w:r>
      <w:r w:rsidR="36B04E0B">
        <w:t xml:space="preserve"> a</w:t>
      </w:r>
      <w:r w:rsidR="00EC615F">
        <w:t>bout</w:t>
      </w:r>
      <w:r w:rsidR="36B04E0B">
        <w:t xml:space="preserve"> the papers used in the product to prove that they are EUDR </w:t>
      </w:r>
      <w:r w:rsidR="36B04E0B" w:rsidRPr="00891C44">
        <w:t>compliant</w:t>
      </w:r>
      <w:r w:rsidR="003C3232" w:rsidRPr="00891C44">
        <w:t>?</w:t>
      </w:r>
      <w:r w:rsidR="36B04E0B">
        <w:t xml:space="preserve"> If that is the case, then they can be sold in the EU.</w:t>
      </w:r>
      <w:r w:rsidR="53943810">
        <w:t xml:space="preserve"> If not, they are going to have to decide what to do and what level of risk is acceptable</w:t>
      </w:r>
      <w:r w:rsidR="005D49BC">
        <w:t xml:space="preserve"> (if any)</w:t>
      </w:r>
      <w:r w:rsidR="53943810">
        <w:t xml:space="preserve">. Publishers </w:t>
      </w:r>
      <w:r w:rsidR="00CC5AED">
        <w:t xml:space="preserve">are advised </w:t>
      </w:r>
      <w:r w:rsidR="6F7DE6E4">
        <w:t>to contact their legal representative</w:t>
      </w:r>
      <w:r w:rsidR="00CC5AED">
        <w:t xml:space="preserve"> regarding this. </w:t>
      </w:r>
    </w:p>
    <w:p w14:paraId="6AB80DDF" w14:textId="6B4A9CEF" w:rsidR="337696F5" w:rsidRDefault="337696F5"/>
    <w:p w14:paraId="6B968E0E" w14:textId="366593FD" w:rsidR="6F7DE6E4" w:rsidRDefault="6F7DE6E4">
      <w:r>
        <w:t xml:space="preserve">The following Excel </w:t>
      </w:r>
      <w:r w:rsidR="1C79DABA">
        <w:t>spreadsheet included herein</w:t>
      </w:r>
      <w:r>
        <w:t xml:space="preserve"> with </w:t>
      </w:r>
      <w:r w:rsidR="359A2676">
        <w:t xml:space="preserve">kind </w:t>
      </w:r>
      <w:r>
        <w:t xml:space="preserve">permission of </w:t>
      </w:r>
      <w:r w:rsidR="00CC5AED">
        <w:t xml:space="preserve">BIC member </w:t>
      </w:r>
      <w:hyperlink r:id="rId41" w:history="1">
        <w:r w:rsidRPr="0031077D">
          <w:rPr>
            <w:rStyle w:val="Hyperlink"/>
          </w:rPr>
          <w:t>CPI</w:t>
        </w:r>
      </w:hyperlink>
      <w:r w:rsidR="3EC186A6">
        <w:t>, is a document that could help publishers with that task.</w:t>
      </w:r>
      <w:r w:rsidR="38724706">
        <w:t xml:space="preserve"> The spreadsheet is interactive and will populate fields depending upon answers</w:t>
      </w:r>
      <w:r w:rsidR="00EB123E">
        <w:t xml:space="preserve"> given</w:t>
      </w:r>
      <w:r w:rsidR="38724706">
        <w:t>.</w:t>
      </w:r>
      <w:r w:rsidR="00EB123E">
        <w:t xml:space="preserve"> Again – BIC recommends </w:t>
      </w:r>
      <w:r w:rsidR="004D0792">
        <w:t>legal counsel be sought in addition to using this spreadsheet</w:t>
      </w:r>
      <w:r w:rsidR="00A76A0F">
        <w:t xml:space="preserve"> tool</w:t>
      </w:r>
      <w:r w:rsidR="004D0792">
        <w:t xml:space="preserve">. </w:t>
      </w:r>
      <w:r w:rsidR="00A76A0F">
        <w:t>Readers should be aware that t</w:t>
      </w:r>
      <w:r w:rsidR="004D0792">
        <w:t xml:space="preserve">his spreadsheet does not constitute legal advice and is not intended </w:t>
      </w:r>
      <w:r w:rsidR="008C1FE7">
        <w:t xml:space="preserve">to be </w:t>
      </w:r>
      <w:r w:rsidR="00EB2EC5">
        <w:t>used as such</w:t>
      </w:r>
      <w:r w:rsidR="000F6244">
        <w:t xml:space="preserve">: </w:t>
      </w:r>
      <w:hyperlink r:id="rId42" w:history="1">
        <w:r w:rsidR="000F6244" w:rsidRPr="00AD53F7">
          <w:rPr>
            <w:rStyle w:val="Hyperlink"/>
          </w:rPr>
          <w:t>Publisher transitional stock analysis</w:t>
        </w:r>
      </w:hyperlink>
      <w:r w:rsidR="000F6244">
        <w:t>.</w:t>
      </w:r>
      <w:r w:rsidR="008C1FE7">
        <w:t xml:space="preserve"> </w:t>
      </w:r>
      <w:r w:rsidR="009B3AE3">
        <w:t xml:space="preserve">A new version of the spreadsheet will </w:t>
      </w:r>
      <w:r w:rsidR="004E4198">
        <w:t>be available once the new TARIC codes are known.</w:t>
      </w:r>
    </w:p>
    <w:p w14:paraId="64EA4555" w14:textId="77777777" w:rsidR="002302C6" w:rsidRDefault="002302C6" w:rsidP="0A88F668"/>
    <w:p w14:paraId="5CE0BD85" w14:textId="3FC53AF7" w:rsidR="00E14F13" w:rsidRDefault="2237E80C" w:rsidP="00C276EC">
      <w:pPr>
        <w:pStyle w:val="Heading1"/>
      </w:pPr>
      <w:bookmarkStart w:id="42" w:name="_Toc237262968"/>
      <w:r>
        <w:t>Risk assessment</w:t>
      </w:r>
      <w:r w:rsidR="45002B08">
        <w:t xml:space="preserve"> of the supply chain</w:t>
      </w:r>
      <w:bookmarkEnd w:id="42"/>
    </w:p>
    <w:p w14:paraId="6E55125D" w14:textId="59217C90" w:rsidR="0A88F668" w:rsidRDefault="0A88F668" w:rsidP="0A88F668"/>
    <w:p w14:paraId="68E14056" w14:textId="0663D295" w:rsidR="0B67D854" w:rsidRDefault="0B67D854">
      <w:r>
        <w:t>Another part of EUDR is that</w:t>
      </w:r>
      <w:r w:rsidR="00E33F69">
        <w:t xml:space="preserve"> all</w:t>
      </w:r>
      <w:r>
        <w:t xml:space="preserve"> organisations</w:t>
      </w:r>
      <w:r w:rsidR="00F34496">
        <w:t xml:space="preserve"> subject to EUDR</w:t>
      </w:r>
      <w:r>
        <w:t xml:space="preserve"> are required to conduct </w:t>
      </w:r>
      <w:r w:rsidR="606B61FC">
        <w:t xml:space="preserve">a risk assessment of their supply chains. </w:t>
      </w:r>
      <w:r w:rsidR="556EC8E6">
        <w:t>The following Excel spreadsheet developed by CPI included herein and with their permission is a tool that will help</w:t>
      </w:r>
      <w:r w:rsidR="77DA6BDE">
        <w:t xml:space="preserve"> organisations in the book industry supply chain assess their level of risk. This is again and interactive to</w:t>
      </w:r>
      <w:r w:rsidR="75AFD803">
        <w:t xml:space="preserve">ol and uses country </w:t>
      </w:r>
      <w:r w:rsidR="59699F81">
        <w:t xml:space="preserve">risk levels as part of its </w:t>
      </w:r>
      <w:r w:rsidR="59699F81">
        <w:lastRenderedPageBreak/>
        <w:t>assessment, as well upstream organisations in the supply chain back to the forestry sources</w:t>
      </w:r>
      <w:r w:rsidR="000F6244">
        <w:t xml:space="preserve">: </w:t>
      </w:r>
      <w:hyperlink r:id="rId43" w:history="1">
        <w:r w:rsidR="000F6244" w:rsidRPr="00890A23">
          <w:rPr>
            <w:rStyle w:val="Hyperlink"/>
            <w:color w:val="0000FF"/>
          </w:rPr>
          <w:t xml:space="preserve">EUDR questionnaire and risk </w:t>
        </w:r>
        <w:r w:rsidR="000F6244" w:rsidRPr="00AD53F7">
          <w:rPr>
            <w:rStyle w:val="Hyperlink"/>
          </w:rPr>
          <w:t>assessment</w:t>
        </w:r>
      </w:hyperlink>
      <w:r w:rsidR="000F6244" w:rsidRPr="00AD53F7">
        <w:t>.</w:t>
      </w:r>
    </w:p>
    <w:p w14:paraId="275D5806" w14:textId="35C58723" w:rsidR="337696F5" w:rsidRDefault="337696F5"/>
    <w:p w14:paraId="2DEFF955" w14:textId="200E4F58" w:rsidR="7EACBF13" w:rsidRDefault="003B711D">
      <w:r>
        <w:t>Here is the</w:t>
      </w:r>
      <w:r w:rsidR="00C0550D">
        <w:t xml:space="preserve"> EUDR</w:t>
      </w:r>
      <w:r w:rsidR="7EACBF13">
        <w:t xml:space="preserve"> list of the </w:t>
      </w:r>
      <w:hyperlink r:id="rId44" w:history="1">
        <w:r w:rsidR="7EACBF13" w:rsidRPr="0084763F">
          <w:rPr>
            <w:rStyle w:val="Hyperlink"/>
          </w:rPr>
          <w:t xml:space="preserve">EU country classifications </w:t>
        </w:r>
        <w:r w:rsidR="0030391E" w:rsidRPr="0084763F">
          <w:rPr>
            <w:rStyle w:val="Hyperlink"/>
          </w:rPr>
          <w:t>risk level</w:t>
        </w:r>
      </w:hyperlink>
      <w:r w:rsidR="0030391E">
        <w:t>.</w:t>
      </w:r>
    </w:p>
    <w:p w14:paraId="7478AB85" w14:textId="77777777" w:rsidR="00DA76B8" w:rsidRDefault="00DA76B8"/>
    <w:p w14:paraId="4613462D" w14:textId="77777777" w:rsidR="00C276EC" w:rsidRDefault="00C276EC" w:rsidP="00C276EC">
      <w:pPr>
        <w:pStyle w:val="Heading1"/>
      </w:pPr>
      <w:bookmarkStart w:id="43" w:name="_Toc237262969"/>
      <w:r w:rsidRPr="00E748B5">
        <w:t>Communicating Due Diligence Statement (DDS) and GPS data in ONIX</w:t>
      </w:r>
      <w:bookmarkEnd w:id="43"/>
    </w:p>
    <w:p w14:paraId="0A725B04" w14:textId="77777777" w:rsidR="001E3B8F" w:rsidRPr="00C276EC" w:rsidRDefault="001E3B8F" w:rsidP="00C276EC">
      <w:pPr>
        <w:pStyle w:val="Heading1"/>
      </w:pPr>
    </w:p>
    <w:p w14:paraId="57AEE04B" w14:textId="42C60974" w:rsidR="00C276EC" w:rsidRPr="00E748B5" w:rsidRDefault="00C276EC" w:rsidP="00C276EC">
      <w:hyperlink r:id="rId45" w:tgtFrame="_blank" w:history="1">
        <w:r w:rsidRPr="00E748B5">
          <w:rPr>
            <w:rStyle w:val="Hyperlink"/>
          </w:rPr>
          <w:t>EDItEUR’s ONIX Application Note: EU Deforestation Regulation and ONIX</w:t>
        </w:r>
      </w:hyperlink>
      <w:r w:rsidR="003E6C93">
        <w:t xml:space="preserve"> At the time of writing this is being updated by ED</w:t>
      </w:r>
      <w:r w:rsidR="00133BB7">
        <w:t>ItEUR.</w:t>
      </w:r>
    </w:p>
    <w:p w14:paraId="32BEAAE5" w14:textId="77777777" w:rsidR="00C276EC" w:rsidRDefault="00C276EC"/>
    <w:p w14:paraId="70375BED" w14:textId="50F0B0D5" w:rsidR="2237E80C" w:rsidRDefault="2237E80C" w:rsidP="337696F5">
      <w:pPr>
        <w:pStyle w:val="Heading1"/>
      </w:pPr>
      <w:bookmarkStart w:id="44" w:name="_Toc237262970"/>
      <w:r>
        <w:t>Glossary</w:t>
      </w:r>
      <w:bookmarkEnd w:id="44"/>
    </w:p>
    <w:p w14:paraId="47E1AE6A" w14:textId="307A29D9" w:rsidR="2ED07390" w:rsidRDefault="2ED07390" w:rsidP="337696F5">
      <w:pPr>
        <w:jc w:val="both"/>
      </w:pPr>
      <w:r w:rsidRPr="337696F5">
        <w:rPr>
          <w:rFonts w:eastAsia="Public Sans" w:cs="Public Sans"/>
          <w:sz w:val="19"/>
          <w:szCs w:val="19"/>
        </w:rPr>
        <w:t xml:space="preserve"> </w:t>
      </w:r>
    </w:p>
    <w:tbl>
      <w:tblPr>
        <w:tblStyle w:val="TableGrid"/>
        <w:tblW w:w="0" w:type="auto"/>
        <w:tblLayout w:type="fixed"/>
        <w:tblLook w:val="04A0" w:firstRow="1" w:lastRow="0" w:firstColumn="1" w:lastColumn="0" w:noHBand="0" w:noVBand="1"/>
      </w:tblPr>
      <w:tblGrid>
        <w:gridCol w:w="1134"/>
        <w:gridCol w:w="1644"/>
        <w:gridCol w:w="4300"/>
        <w:gridCol w:w="3176"/>
      </w:tblGrid>
      <w:tr w:rsidR="337696F5" w14:paraId="3E3D9E05"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shd w:val="clear" w:color="auto" w:fill="002856"/>
            <w:tcMar>
              <w:left w:w="108" w:type="dxa"/>
              <w:right w:w="108" w:type="dxa"/>
            </w:tcMar>
          </w:tcPr>
          <w:p w14:paraId="41D760B0" w14:textId="38066D9C" w:rsidR="337696F5" w:rsidRDefault="337696F5" w:rsidP="337696F5">
            <w:pPr>
              <w:jc w:val="both"/>
            </w:pPr>
            <w:r w:rsidRPr="337696F5">
              <w:rPr>
                <w:rFonts w:eastAsia="Public Sans" w:cs="Public Sans"/>
                <w:color w:val="FFFFFF" w:themeColor="background1"/>
                <w:sz w:val="19"/>
                <w:szCs w:val="19"/>
              </w:rPr>
              <w:t>Acronym</w:t>
            </w:r>
          </w:p>
        </w:tc>
        <w:tc>
          <w:tcPr>
            <w:tcW w:w="1644" w:type="dxa"/>
            <w:tcBorders>
              <w:top w:val="single" w:sz="8" w:space="0" w:color="auto"/>
              <w:left w:val="single" w:sz="8" w:space="0" w:color="auto"/>
              <w:bottom w:val="single" w:sz="8" w:space="0" w:color="auto"/>
              <w:right w:val="single" w:sz="8" w:space="0" w:color="auto"/>
            </w:tcBorders>
            <w:shd w:val="clear" w:color="auto" w:fill="002856"/>
            <w:tcMar>
              <w:left w:w="108" w:type="dxa"/>
              <w:right w:w="108" w:type="dxa"/>
            </w:tcMar>
            <w:vAlign w:val="center"/>
          </w:tcPr>
          <w:p w14:paraId="52FCA43C" w14:textId="2F3535C9" w:rsidR="337696F5" w:rsidRDefault="337696F5" w:rsidP="337696F5">
            <w:pPr>
              <w:jc w:val="both"/>
            </w:pPr>
            <w:r w:rsidRPr="337696F5">
              <w:rPr>
                <w:rFonts w:eastAsia="Public Sans" w:cs="Public Sans"/>
                <w:color w:val="FFFFFF" w:themeColor="background1"/>
                <w:sz w:val="19"/>
                <w:szCs w:val="19"/>
              </w:rPr>
              <w:t>Full name</w:t>
            </w:r>
          </w:p>
        </w:tc>
        <w:tc>
          <w:tcPr>
            <w:tcW w:w="4300" w:type="dxa"/>
            <w:tcBorders>
              <w:top w:val="single" w:sz="8" w:space="0" w:color="auto"/>
              <w:left w:val="single" w:sz="8" w:space="0" w:color="auto"/>
              <w:bottom w:val="single" w:sz="8" w:space="0" w:color="auto"/>
              <w:right w:val="single" w:sz="8" w:space="0" w:color="auto"/>
            </w:tcBorders>
            <w:shd w:val="clear" w:color="auto" w:fill="002856"/>
            <w:tcMar>
              <w:left w:w="108" w:type="dxa"/>
              <w:right w:w="108" w:type="dxa"/>
            </w:tcMar>
            <w:vAlign w:val="bottom"/>
          </w:tcPr>
          <w:p w14:paraId="6D2D92D0" w14:textId="5016E763" w:rsidR="337696F5" w:rsidRDefault="337696F5" w:rsidP="337696F5">
            <w:pPr>
              <w:jc w:val="both"/>
            </w:pPr>
            <w:r w:rsidRPr="337696F5">
              <w:rPr>
                <w:rFonts w:eastAsia="Public Sans" w:cs="Public Sans"/>
                <w:color w:val="FFFFFF" w:themeColor="background1"/>
                <w:sz w:val="19"/>
                <w:szCs w:val="19"/>
              </w:rPr>
              <w:t>Description</w:t>
            </w:r>
          </w:p>
        </w:tc>
        <w:tc>
          <w:tcPr>
            <w:tcW w:w="3176" w:type="dxa"/>
            <w:tcBorders>
              <w:top w:val="single" w:sz="8" w:space="0" w:color="auto"/>
              <w:left w:val="single" w:sz="8" w:space="0" w:color="auto"/>
              <w:bottom w:val="single" w:sz="8" w:space="0" w:color="auto"/>
              <w:right w:val="single" w:sz="8" w:space="0" w:color="auto"/>
            </w:tcBorders>
            <w:shd w:val="clear" w:color="auto" w:fill="002856"/>
            <w:tcMar>
              <w:left w:w="108" w:type="dxa"/>
              <w:right w:w="108" w:type="dxa"/>
            </w:tcMar>
            <w:vAlign w:val="center"/>
          </w:tcPr>
          <w:p w14:paraId="64235272" w14:textId="3043F89F" w:rsidR="337696F5" w:rsidRDefault="337696F5" w:rsidP="337696F5">
            <w:pPr>
              <w:jc w:val="both"/>
            </w:pPr>
            <w:r w:rsidRPr="337696F5">
              <w:rPr>
                <w:rFonts w:eastAsia="Public Sans" w:cs="Public Sans"/>
                <w:color w:val="FFFFFF" w:themeColor="background1"/>
                <w:sz w:val="19"/>
                <w:szCs w:val="19"/>
              </w:rPr>
              <w:t>Further notes</w:t>
            </w:r>
          </w:p>
        </w:tc>
      </w:tr>
      <w:tr w:rsidR="337696F5" w14:paraId="51D6BABF"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B7C70C9" w14:textId="2B8601D6" w:rsidR="337696F5" w:rsidRDefault="337696F5" w:rsidP="337696F5">
            <w:pPr>
              <w:jc w:val="both"/>
            </w:pPr>
            <w:r w:rsidRPr="337696F5">
              <w:rPr>
                <w:rFonts w:eastAsia="Public Sans" w:cs="Public Sans"/>
                <w:sz w:val="19"/>
                <w:szCs w:val="19"/>
              </w:rPr>
              <w:t xml:space="preserve"> </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180CB1" w14:textId="5F5B9EF0" w:rsidR="20A0D755" w:rsidRDefault="20A0D755" w:rsidP="337696F5">
            <w:pPr>
              <w:jc w:val="both"/>
              <w:rPr>
                <w:rFonts w:eastAsia="Public Sans" w:cs="Public Sans"/>
                <w:sz w:val="19"/>
                <w:szCs w:val="19"/>
              </w:rPr>
            </w:pPr>
            <w:r w:rsidRPr="337696F5">
              <w:rPr>
                <w:rFonts w:eastAsia="Public Sans" w:cs="Public Sans"/>
                <w:sz w:val="19"/>
                <w:szCs w:val="19"/>
              </w:rPr>
              <w:t>Commodity code</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2A0B2E" w14:textId="0C3CE796" w:rsidR="69D1C11E" w:rsidRDefault="69D1C11E" w:rsidP="337696F5">
            <w:pPr>
              <w:rPr>
                <w:rFonts w:eastAsia="Public Sans" w:cs="Public Sans"/>
                <w:sz w:val="19"/>
                <w:szCs w:val="19"/>
              </w:rPr>
            </w:pPr>
            <w:r w:rsidRPr="337696F5">
              <w:rPr>
                <w:rFonts w:eastAsia="Public Sans" w:cs="Public Sans"/>
                <w:sz w:val="19"/>
                <w:szCs w:val="19"/>
              </w:rPr>
              <w:t>A commodity code is a standard system of numbers that are used to identify the goods and services that are being purchased</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62CB61" w14:textId="19611879" w:rsidR="69D1C11E" w:rsidRPr="00890A23" w:rsidRDefault="69D1C11E" w:rsidP="337696F5">
            <w:pPr>
              <w:jc w:val="both"/>
              <w:rPr>
                <w:rFonts w:eastAsia="Public Sans" w:cs="Public Sans"/>
                <w:color w:val="0000FF"/>
                <w:sz w:val="20"/>
                <w:szCs w:val="20"/>
                <w:u w:val="single"/>
              </w:rPr>
            </w:pPr>
            <w:r w:rsidRPr="00890A23">
              <w:rPr>
                <w:rFonts w:eastAsia="Public Sans" w:cs="Public Sans"/>
                <w:color w:val="0000FF"/>
                <w:sz w:val="20"/>
                <w:szCs w:val="20"/>
                <w:u w:val="single"/>
              </w:rPr>
              <w:t>https://www.gov.uk/trade-tariff</w:t>
            </w:r>
          </w:p>
        </w:tc>
      </w:tr>
      <w:tr w:rsidR="337696F5" w14:paraId="3F39D70E"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84104" w14:textId="7F7F815E" w:rsidR="42846004" w:rsidRDefault="42846004" w:rsidP="337696F5">
            <w:r w:rsidRPr="337696F5">
              <w:rPr>
                <w:rFonts w:eastAsia="Public Sans" w:cs="Public Sans"/>
                <w:sz w:val="19"/>
                <w:szCs w:val="19"/>
              </w:rPr>
              <w:t>DDS</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851FC2" w14:textId="0F579FC2" w:rsidR="39B510F0" w:rsidRDefault="39B510F0" w:rsidP="337696F5">
            <w:pPr>
              <w:rPr>
                <w:rFonts w:eastAsia="Public Sans" w:cs="Public Sans"/>
                <w:sz w:val="19"/>
                <w:szCs w:val="19"/>
              </w:rPr>
            </w:pPr>
            <w:r w:rsidRPr="337696F5">
              <w:rPr>
                <w:rFonts w:eastAsia="Public Sans" w:cs="Public Sans"/>
                <w:sz w:val="19"/>
                <w:szCs w:val="19"/>
              </w:rPr>
              <w:t>Due Diligence Statement</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167C2B" w14:textId="34AB038D" w:rsidR="7AC315A6" w:rsidRDefault="7AC315A6" w:rsidP="337696F5">
            <w:pPr>
              <w:jc w:val="both"/>
              <w:rPr>
                <w:rFonts w:eastAsia="Public Sans" w:cs="Public Sans"/>
                <w:sz w:val="19"/>
                <w:szCs w:val="19"/>
              </w:rPr>
            </w:pPr>
            <w:r w:rsidRPr="337696F5">
              <w:rPr>
                <w:rFonts w:eastAsia="Public Sans" w:cs="Public Sans"/>
                <w:sz w:val="19"/>
                <w:szCs w:val="19"/>
              </w:rPr>
              <w:t xml:space="preserve">This is the statement created in EU Traces that contains the geolocation and species data of the trees used to make the paper and then books. </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C52D1" w14:textId="67EC3585" w:rsidR="337696F5" w:rsidRPr="00890A23" w:rsidRDefault="337696F5" w:rsidP="337696F5">
            <w:pPr>
              <w:jc w:val="both"/>
              <w:rPr>
                <w:rFonts w:eastAsia="Public Sans" w:cs="Public Sans"/>
                <w:color w:val="0000FF"/>
                <w:sz w:val="20"/>
                <w:szCs w:val="20"/>
                <w:u w:val="single"/>
              </w:rPr>
            </w:pPr>
          </w:p>
        </w:tc>
      </w:tr>
      <w:tr w:rsidR="337696F5" w14:paraId="344797C5"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C39BEC" w14:textId="5F95D64D" w:rsidR="1D30136D" w:rsidRDefault="1D30136D" w:rsidP="337696F5">
            <w:pPr>
              <w:rPr>
                <w:rFonts w:eastAsia="Public Sans" w:cs="Public Sans"/>
                <w:sz w:val="19"/>
                <w:szCs w:val="19"/>
              </w:rPr>
            </w:pPr>
            <w:r w:rsidRPr="337696F5">
              <w:rPr>
                <w:rFonts w:eastAsia="Public Sans" w:cs="Public Sans"/>
                <w:sz w:val="19"/>
                <w:szCs w:val="19"/>
              </w:rPr>
              <w:t>DSL</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CA69D8" w14:textId="69F72BF1" w:rsidR="433146A4" w:rsidRDefault="433146A4" w:rsidP="337696F5">
            <w:pPr>
              <w:rPr>
                <w:rFonts w:eastAsia="Public Sans" w:cs="Public Sans"/>
                <w:sz w:val="19"/>
                <w:szCs w:val="19"/>
              </w:rPr>
            </w:pPr>
            <w:r w:rsidRPr="337696F5">
              <w:rPr>
                <w:rFonts w:eastAsia="Public Sans" w:cs="Public Sans"/>
                <w:sz w:val="19"/>
                <w:szCs w:val="19"/>
              </w:rPr>
              <w:t>Data Security Law</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510D1F" w14:textId="6E30BB2D" w:rsidR="2D2E5175" w:rsidRDefault="2D2E5175" w:rsidP="337696F5">
            <w:pPr>
              <w:jc w:val="both"/>
              <w:rPr>
                <w:rFonts w:eastAsia="Public Sans" w:cs="Public Sans"/>
                <w:sz w:val="19"/>
                <w:szCs w:val="19"/>
              </w:rPr>
            </w:pPr>
            <w:r w:rsidRPr="337696F5">
              <w:rPr>
                <w:rFonts w:eastAsia="Public Sans" w:cs="Public Sans"/>
                <w:sz w:val="19"/>
                <w:szCs w:val="19"/>
              </w:rPr>
              <w:t xml:space="preserve">This is a Chinese law that introduces the concept of Important Data which, if mishandled could harm national security, </w:t>
            </w:r>
            <w:r w:rsidR="53C3C179" w:rsidRPr="337696F5">
              <w:rPr>
                <w:rFonts w:eastAsia="Public Sans" w:cs="Public Sans"/>
                <w:sz w:val="19"/>
                <w:szCs w:val="19"/>
              </w:rPr>
              <w:t>public</w:t>
            </w:r>
            <w:r w:rsidRPr="337696F5">
              <w:rPr>
                <w:rFonts w:eastAsia="Public Sans" w:cs="Public Sans"/>
                <w:sz w:val="19"/>
                <w:szCs w:val="19"/>
              </w:rPr>
              <w:t xml:space="preserve"> interest, or economic</w:t>
            </w:r>
            <w:r w:rsidR="5D4E96CB" w:rsidRPr="337696F5">
              <w:rPr>
                <w:rFonts w:eastAsia="Public Sans" w:cs="Public Sans"/>
                <w:sz w:val="19"/>
                <w:szCs w:val="19"/>
              </w:rPr>
              <w:t xml:space="preserve"> stability</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BA420" w14:textId="1D150A2F" w:rsidR="337696F5" w:rsidRPr="00890A23" w:rsidRDefault="337696F5" w:rsidP="337696F5">
            <w:pPr>
              <w:spacing w:after="160" w:line="259" w:lineRule="auto"/>
              <w:rPr>
                <w:color w:val="0000FF"/>
                <w:sz w:val="20"/>
                <w:szCs w:val="20"/>
              </w:rPr>
            </w:pPr>
          </w:p>
        </w:tc>
      </w:tr>
      <w:tr w:rsidR="337696F5" w14:paraId="65A573DD"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C89565" w14:textId="20E65F6B" w:rsidR="1491D208" w:rsidRDefault="1491D208" w:rsidP="337696F5">
            <w:pPr>
              <w:rPr>
                <w:rFonts w:eastAsia="Public Sans" w:cs="Public Sans"/>
                <w:sz w:val="19"/>
                <w:szCs w:val="19"/>
              </w:rPr>
            </w:pPr>
            <w:r w:rsidRPr="337696F5">
              <w:rPr>
                <w:rFonts w:eastAsia="Public Sans" w:cs="Public Sans"/>
                <w:sz w:val="19"/>
                <w:szCs w:val="19"/>
              </w:rPr>
              <w:t>EORI</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BAEF6" w14:textId="41294278" w:rsidR="1EA92EB0" w:rsidRDefault="1EA92EB0" w:rsidP="337696F5">
            <w:pPr>
              <w:jc w:val="both"/>
              <w:rPr>
                <w:rFonts w:eastAsia="Public Sans" w:cs="Public Sans"/>
                <w:sz w:val="19"/>
                <w:szCs w:val="19"/>
              </w:rPr>
            </w:pPr>
            <w:r w:rsidRPr="337696F5">
              <w:rPr>
                <w:rFonts w:eastAsia="Public Sans" w:cs="Public Sans"/>
                <w:sz w:val="19"/>
                <w:szCs w:val="19"/>
              </w:rPr>
              <w:t>Economic Operators Registration and Identification</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1EDFEE" w14:textId="7B0FBCF1" w:rsidR="1BFFDCD2" w:rsidRDefault="1BFFDCD2" w:rsidP="337696F5">
            <w:pPr>
              <w:rPr>
                <w:rFonts w:eastAsia="Public Sans" w:cs="Public Sans"/>
                <w:sz w:val="19"/>
                <w:szCs w:val="19"/>
              </w:rPr>
            </w:pPr>
            <w:r w:rsidRPr="337696F5">
              <w:rPr>
                <w:rFonts w:eastAsia="Public Sans" w:cs="Public Sans"/>
                <w:color w:val="000000" w:themeColor="text1"/>
                <w:sz w:val="19"/>
                <w:szCs w:val="19"/>
              </w:rPr>
              <w:t>This unique identifier is used by customs authorities in the UK and EU when businesses or individuals interact with customs for import and export activities. EORI numbers are specific to the EU and trading with the EU.</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95A6C5" w14:textId="2746FF87" w:rsidR="337696F5" w:rsidRPr="00890A23" w:rsidRDefault="337696F5" w:rsidP="337696F5">
            <w:pPr>
              <w:jc w:val="both"/>
              <w:rPr>
                <w:rFonts w:eastAsia="Public Sans" w:cs="Public Sans"/>
                <w:color w:val="0000FF"/>
                <w:sz w:val="20"/>
                <w:szCs w:val="20"/>
                <w:u w:val="single"/>
              </w:rPr>
            </w:pPr>
          </w:p>
        </w:tc>
      </w:tr>
      <w:tr w:rsidR="337696F5" w14:paraId="04990DAB"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57EB1B" w14:textId="77EC9563" w:rsidR="356BA4E4" w:rsidRDefault="356BA4E4" w:rsidP="337696F5">
            <w:pPr>
              <w:jc w:val="both"/>
              <w:rPr>
                <w:rFonts w:eastAsia="Public Sans" w:cs="Public Sans"/>
                <w:sz w:val="19"/>
                <w:szCs w:val="19"/>
              </w:rPr>
            </w:pPr>
            <w:r w:rsidRPr="337696F5">
              <w:rPr>
                <w:rFonts w:eastAsia="Public Sans" w:cs="Public Sans"/>
                <w:sz w:val="19"/>
                <w:szCs w:val="19"/>
              </w:rPr>
              <w:t>EUDR</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3E159D" w14:textId="4873C00B" w:rsidR="33E150DB" w:rsidRDefault="33E150DB" w:rsidP="337696F5">
            <w:pPr>
              <w:jc w:val="both"/>
              <w:rPr>
                <w:rFonts w:eastAsia="Public Sans" w:cs="Public Sans"/>
                <w:sz w:val="19"/>
                <w:szCs w:val="19"/>
              </w:rPr>
            </w:pPr>
            <w:r w:rsidRPr="337696F5">
              <w:rPr>
                <w:rFonts w:eastAsia="Public Sans" w:cs="Public Sans"/>
                <w:sz w:val="19"/>
                <w:szCs w:val="19"/>
              </w:rPr>
              <w:t>European Union Deforestation Regulation</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85FBAB" w14:textId="4783ACD1" w:rsidR="2101C065" w:rsidRDefault="2101C065" w:rsidP="337696F5">
            <w:pPr>
              <w:rPr>
                <w:rFonts w:eastAsia="Public Sans" w:cs="Public Sans"/>
                <w:sz w:val="19"/>
                <w:szCs w:val="19"/>
              </w:rPr>
            </w:pPr>
            <w:r w:rsidRPr="337696F5">
              <w:rPr>
                <w:rFonts w:eastAsia="Public Sans" w:cs="Public Sans"/>
                <w:sz w:val="19"/>
                <w:szCs w:val="19"/>
              </w:rPr>
              <w:t>The regulation that requires seven commodities (</w:t>
            </w:r>
            <w:r w:rsidR="60155C8E" w:rsidRPr="337696F5">
              <w:rPr>
                <w:rFonts w:eastAsia="Public Sans" w:cs="Public Sans"/>
                <w:sz w:val="19"/>
                <w:szCs w:val="19"/>
              </w:rPr>
              <w:t xml:space="preserve">cocoa, coffee, soy, palm oil, wood, rubber, and cattle, and their derivatives) are deforestation or </w:t>
            </w:r>
            <w:r w:rsidR="1E28B4EF" w:rsidRPr="337696F5">
              <w:rPr>
                <w:rFonts w:eastAsia="Public Sans" w:cs="Public Sans"/>
                <w:sz w:val="19"/>
                <w:szCs w:val="19"/>
              </w:rPr>
              <w:t>land degradation free before they can be imported or exported in the EU.</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0969D1" w14:textId="3436C720" w:rsidR="061EB1EC" w:rsidRPr="00890A23" w:rsidRDefault="061EB1EC" w:rsidP="337696F5">
            <w:pPr>
              <w:jc w:val="both"/>
              <w:rPr>
                <w:rFonts w:eastAsia="Public Sans" w:cs="Public Sans"/>
                <w:color w:val="0000FF"/>
                <w:sz w:val="20"/>
                <w:szCs w:val="20"/>
              </w:rPr>
            </w:pPr>
            <w:hyperlink r:id="rId46">
              <w:r w:rsidRPr="00890A23">
                <w:rPr>
                  <w:rStyle w:val="Hyperlink"/>
                  <w:rFonts w:eastAsia="Public Sans" w:cs="Public Sans"/>
                  <w:color w:val="0000FF"/>
                  <w:sz w:val="20"/>
                  <w:szCs w:val="20"/>
                </w:rPr>
                <w:t>Regulation on Deforestation-free products - European Commission</w:t>
              </w:r>
            </w:hyperlink>
          </w:p>
          <w:p w14:paraId="16AAB95A" w14:textId="2C3BADAD" w:rsidR="337696F5" w:rsidRPr="00890A23" w:rsidRDefault="337696F5" w:rsidP="337696F5">
            <w:pPr>
              <w:jc w:val="both"/>
              <w:rPr>
                <w:rFonts w:eastAsia="Public Sans" w:cs="Public Sans"/>
                <w:color w:val="0000FF"/>
                <w:sz w:val="20"/>
                <w:szCs w:val="20"/>
              </w:rPr>
            </w:pPr>
          </w:p>
          <w:p w14:paraId="0042F426" w14:textId="7A795BFC" w:rsidR="061EB1EC" w:rsidRPr="00890A23" w:rsidRDefault="061EB1EC" w:rsidP="337696F5">
            <w:pPr>
              <w:jc w:val="both"/>
              <w:rPr>
                <w:rFonts w:eastAsia="Public Sans" w:cs="Public Sans"/>
                <w:color w:val="0000FF"/>
                <w:sz w:val="20"/>
                <w:szCs w:val="20"/>
              </w:rPr>
            </w:pPr>
            <w:hyperlink r:id="rId47">
              <w:r w:rsidRPr="00890A23">
                <w:rPr>
                  <w:rStyle w:val="Hyperlink"/>
                  <w:rFonts w:eastAsia="Public Sans" w:cs="Public Sans"/>
                  <w:color w:val="0000FF"/>
                  <w:sz w:val="20"/>
                  <w:szCs w:val="20"/>
                </w:rPr>
                <w:t>Frequently Asked Questions - Deforestation Regulation - European Commission</w:t>
              </w:r>
            </w:hyperlink>
          </w:p>
        </w:tc>
      </w:tr>
      <w:tr w:rsidR="337696F5" w14:paraId="4E427522"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FB0F72" w14:textId="0F873D17" w:rsidR="3B6B7868" w:rsidRDefault="3B6B7868" w:rsidP="337696F5">
            <w:pPr>
              <w:jc w:val="both"/>
              <w:rPr>
                <w:rFonts w:eastAsia="Public Sans" w:cs="Public Sans"/>
                <w:sz w:val="19"/>
                <w:szCs w:val="19"/>
              </w:rPr>
            </w:pPr>
            <w:r w:rsidRPr="337696F5">
              <w:rPr>
                <w:rFonts w:eastAsia="Public Sans" w:cs="Public Sans"/>
                <w:sz w:val="19"/>
                <w:szCs w:val="19"/>
              </w:rPr>
              <w:t>EUTR</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F05B6A" w14:textId="3865F231" w:rsidR="3B6B7868" w:rsidRDefault="3B6B7868" w:rsidP="337696F5">
            <w:pPr>
              <w:jc w:val="both"/>
              <w:rPr>
                <w:rFonts w:eastAsia="Public Sans" w:cs="Public Sans"/>
                <w:sz w:val="19"/>
                <w:szCs w:val="19"/>
              </w:rPr>
            </w:pPr>
            <w:r w:rsidRPr="337696F5">
              <w:rPr>
                <w:rFonts w:eastAsia="Public Sans" w:cs="Public Sans"/>
                <w:sz w:val="19"/>
                <w:szCs w:val="19"/>
              </w:rPr>
              <w:t>European Union Timber Regulation</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A528AB" w14:textId="1C8D08E4" w:rsidR="3EAF1CC8" w:rsidRDefault="3EAF1CC8" w:rsidP="337696F5">
            <w:pPr>
              <w:rPr>
                <w:rFonts w:eastAsia="Public Sans" w:cs="Public Sans"/>
                <w:sz w:val="19"/>
                <w:szCs w:val="19"/>
              </w:rPr>
            </w:pPr>
            <w:r w:rsidRPr="337696F5">
              <w:rPr>
                <w:sz w:val="19"/>
                <w:szCs w:val="19"/>
              </w:rPr>
              <w:t>The European Timber Regulation (EUTR) aims to stop the trade of illegal timber through banning placing illegally harvested timber on the EU market.</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A16FF8" w14:textId="03FEE46A" w:rsidR="3B6B7868" w:rsidRPr="00890A23" w:rsidRDefault="002A0058" w:rsidP="337696F5">
            <w:pPr>
              <w:jc w:val="both"/>
              <w:rPr>
                <w:rFonts w:eastAsia="Public Sans" w:cs="Public Sans"/>
                <w:color w:val="0000FF"/>
                <w:sz w:val="20"/>
                <w:szCs w:val="20"/>
                <w:u w:val="single"/>
              </w:rPr>
            </w:pPr>
            <w:hyperlink r:id="rId48" w:history="1">
              <w:r w:rsidRPr="00890A23">
                <w:rPr>
                  <w:rStyle w:val="Hyperlink"/>
                  <w:rFonts w:eastAsia="Public Sans" w:cs="Public Sans"/>
                  <w:color w:val="0000FF"/>
                  <w:sz w:val="20"/>
                  <w:szCs w:val="20"/>
                </w:rPr>
                <w:t>https://eur-lex.europa.eu/eli/reg/2010/995/oj/eng</w:t>
              </w:r>
            </w:hyperlink>
          </w:p>
        </w:tc>
      </w:tr>
      <w:tr w:rsidR="337696F5" w14:paraId="72AB5AEC"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E343BC" w14:textId="6210F412" w:rsidR="337696F5" w:rsidRDefault="337696F5" w:rsidP="337696F5">
            <w:pPr>
              <w:jc w:val="both"/>
              <w:rPr>
                <w:rFonts w:eastAsia="Public Sans" w:cs="Public Sans"/>
                <w:sz w:val="19"/>
                <w:szCs w:val="19"/>
              </w:rPr>
            </w:pP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101E78" w14:textId="6022108D" w:rsidR="6F54BCAC" w:rsidRDefault="6F54BCAC" w:rsidP="337696F5">
            <w:pPr>
              <w:jc w:val="both"/>
              <w:rPr>
                <w:rFonts w:eastAsia="Public Sans" w:cs="Public Sans"/>
                <w:sz w:val="19"/>
                <w:szCs w:val="19"/>
              </w:rPr>
            </w:pPr>
            <w:r w:rsidRPr="337696F5">
              <w:rPr>
                <w:rFonts w:eastAsia="Public Sans" w:cs="Public Sans"/>
                <w:sz w:val="19"/>
                <w:szCs w:val="19"/>
              </w:rPr>
              <w:t>EU Traces</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9B0241" w14:textId="4F57C034" w:rsidR="0DE48B5D" w:rsidRDefault="0DE48B5D" w:rsidP="337696F5">
            <w:pPr>
              <w:rPr>
                <w:rFonts w:eastAsia="Public Sans" w:cs="Public Sans"/>
                <w:sz w:val="19"/>
                <w:szCs w:val="19"/>
              </w:rPr>
            </w:pPr>
            <w:r w:rsidRPr="337696F5">
              <w:rPr>
                <w:rFonts w:eastAsia="Public Sans" w:cs="Public Sans"/>
                <w:sz w:val="19"/>
                <w:szCs w:val="19"/>
              </w:rPr>
              <w:t xml:space="preserve">This is the EU system that </w:t>
            </w:r>
            <w:r w:rsidR="3940A6DC" w:rsidRPr="337696F5">
              <w:rPr>
                <w:rFonts w:eastAsia="Public Sans" w:cs="Public Sans"/>
                <w:sz w:val="19"/>
                <w:szCs w:val="19"/>
              </w:rPr>
              <w:t>allows organisations to declare that due diligence has been performed before the import, export, domest</w:t>
            </w:r>
            <w:r w:rsidR="17CBB3B1" w:rsidRPr="337696F5">
              <w:rPr>
                <w:rFonts w:eastAsia="Public Sans" w:cs="Public Sans"/>
                <w:sz w:val="19"/>
                <w:szCs w:val="19"/>
              </w:rPr>
              <w:t>ic production or merchandising of products that are in scope of EUDR</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EC8F1" w14:textId="4F5E55B4" w:rsidR="337696F5" w:rsidRPr="00890A23" w:rsidRDefault="337696F5" w:rsidP="337696F5">
            <w:pPr>
              <w:jc w:val="both"/>
              <w:rPr>
                <w:rFonts w:eastAsia="Public Sans" w:cs="Public Sans"/>
                <w:color w:val="0000FF"/>
                <w:sz w:val="20"/>
                <w:szCs w:val="20"/>
                <w:u w:val="single"/>
              </w:rPr>
            </w:pPr>
          </w:p>
        </w:tc>
      </w:tr>
      <w:tr w:rsidR="337696F5" w14:paraId="2FA06A14"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DB2093" w14:textId="3733D5B8" w:rsidR="337696F5" w:rsidRDefault="337696F5" w:rsidP="337696F5">
            <w:pPr>
              <w:jc w:val="both"/>
              <w:rPr>
                <w:rFonts w:eastAsia="Public Sans" w:cs="Public Sans"/>
                <w:sz w:val="19"/>
                <w:szCs w:val="19"/>
              </w:rPr>
            </w:pP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31DEF8" w14:textId="51FD7A60" w:rsidR="356BA4E4" w:rsidRDefault="356BA4E4" w:rsidP="337696F5">
            <w:pPr>
              <w:jc w:val="both"/>
              <w:rPr>
                <w:rFonts w:eastAsia="Public Sans" w:cs="Public Sans"/>
                <w:sz w:val="19"/>
                <w:szCs w:val="19"/>
              </w:rPr>
            </w:pPr>
            <w:proofErr w:type="spellStart"/>
            <w:r w:rsidRPr="337696F5">
              <w:rPr>
                <w:rFonts w:eastAsia="Public Sans" w:cs="Public Sans"/>
                <w:sz w:val="19"/>
                <w:szCs w:val="19"/>
              </w:rPr>
              <w:t>GeoJSON</w:t>
            </w:r>
            <w:proofErr w:type="spellEnd"/>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A98DA1" w14:textId="52CD4618" w:rsidR="140564AA" w:rsidRDefault="140564AA" w:rsidP="337696F5">
            <w:pPr>
              <w:rPr>
                <w:rFonts w:eastAsia="Public Sans" w:cs="Public Sans"/>
                <w:sz w:val="19"/>
                <w:szCs w:val="19"/>
              </w:rPr>
            </w:pPr>
            <w:proofErr w:type="spellStart"/>
            <w:r w:rsidRPr="337696F5">
              <w:rPr>
                <w:sz w:val="19"/>
                <w:szCs w:val="19"/>
              </w:rPr>
              <w:t>GeoJSON</w:t>
            </w:r>
            <w:proofErr w:type="spellEnd"/>
            <w:r w:rsidRPr="337696F5">
              <w:rPr>
                <w:sz w:val="19"/>
                <w:szCs w:val="19"/>
              </w:rPr>
              <w:t xml:space="preserve"> is an open standard format designed for representing simple geographical features, along with their non-spatial attributes.</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29E12F" w14:textId="0C037763" w:rsidR="337696F5" w:rsidRPr="00890A23" w:rsidRDefault="337696F5" w:rsidP="337696F5">
            <w:pPr>
              <w:jc w:val="both"/>
              <w:rPr>
                <w:rFonts w:eastAsia="Public Sans" w:cs="Public Sans"/>
                <w:color w:val="0000FF"/>
                <w:sz w:val="20"/>
                <w:szCs w:val="20"/>
                <w:u w:val="single"/>
              </w:rPr>
            </w:pPr>
          </w:p>
        </w:tc>
      </w:tr>
      <w:tr w:rsidR="337696F5" w14:paraId="3FD65B0E"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B4BC9D" w14:textId="0AA6EA88" w:rsidR="337696F5" w:rsidRDefault="337696F5" w:rsidP="337696F5">
            <w:pPr>
              <w:jc w:val="both"/>
              <w:rPr>
                <w:rFonts w:eastAsia="Public Sans" w:cs="Public Sans"/>
                <w:sz w:val="19"/>
                <w:szCs w:val="19"/>
              </w:rPr>
            </w:pP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9AEB28" w14:textId="14F6DA2F" w:rsidR="29620189" w:rsidRDefault="29620189" w:rsidP="337696F5">
            <w:pPr>
              <w:jc w:val="both"/>
              <w:rPr>
                <w:rFonts w:eastAsia="Public Sans" w:cs="Public Sans"/>
                <w:sz w:val="19"/>
                <w:szCs w:val="19"/>
              </w:rPr>
            </w:pPr>
            <w:r w:rsidRPr="337696F5">
              <w:rPr>
                <w:rFonts w:eastAsia="Public Sans" w:cs="Public Sans"/>
                <w:sz w:val="19"/>
                <w:szCs w:val="19"/>
              </w:rPr>
              <w:t>Incoterms</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B9467A" w14:textId="396836D4" w:rsidR="29620189" w:rsidRDefault="29620189" w:rsidP="337696F5">
            <w:pPr>
              <w:rPr>
                <w:sz w:val="19"/>
                <w:szCs w:val="19"/>
                <w:lang w:val="en-IE"/>
              </w:rPr>
            </w:pPr>
            <w:r w:rsidRPr="337696F5">
              <w:rPr>
                <w:sz w:val="19"/>
                <w:szCs w:val="19"/>
                <w:lang w:val="en-IE"/>
              </w:rPr>
              <w:t>Incoterms are the standard contract terms used in importing/exporting goods.</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AC6ED8" w14:textId="724C01E1" w:rsidR="29620189" w:rsidRPr="00890A23" w:rsidRDefault="29620189" w:rsidP="337696F5">
            <w:pPr>
              <w:jc w:val="both"/>
              <w:rPr>
                <w:rFonts w:eastAsia="Public Sans" w:cs="Public Sans"/>
                <w:color w:val="0000FF"/>
                <w:sz w:val="20"/>
                <w:szCs w:val="20"/>
              </w:rPr>
            </w:pPr>
            <w:hyperlink r:id="rId49">
              <w:r w:rsidRPr="00890A23">
                <w:rPr>
                  <w:rStyle w:val="Hyperlink"/>
                  <w:rFonts w:eastAsia="Public Sans" w:cs="Public Sans"/>
                  <w:color w:val="0000FF"/>
                  <w:sz w:val="20"/>
                  <w:szCs w:val="20"/>
                </w:rPr>
                <w:t>Incoterms Explained [2025 Ultimate Guide] | Freightos</w:t>
              </w:r>
            </w:hyperlink>
          </w:p>
        </w:tc>
      </w:tr>
      <w:tr w:rsidR="337696F5" w14:paraId="06F52B19"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B2597" w14:textId="21C2C627" w:rsidR="356BA4E4" w:rsidRDefault="356BA4E4" w:rsidP="337696F5">
            <w:pPr>
              <w:jc w:val="both"/>
              <w:rPr>
                <w:rFonts w:eastAsia="Public Sans" w:cs="Public Sans"/>
                <w:sz w:val="19"/>
                <w:szCs w:val="19"/>
              </w:rPr>
            </w:pPr>
            <w:r w:rsidRPr="337696F5">
              <w:rPr>
                <w:rFonts w:eastAsia="Public Sans" w:cs="Public Sans"/>
                <w:sz w:val="19"/>
                <w:szCs w:val="19"/>
              </w:rPr>
              <w:t>ONIX</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C2612" w14:textId="77D97471" w:rsidR="3E50102B" w:rsidRDefault="3E50102B" w:rsidP="337696F5">
            <w:pPr>
              <w:jc w:val="both"/>
              <w:rPr>
                <w:rFonts w:eastAsia="Public Sans" w:cs="Public Sans"/>
                <w:sz w:val="19"/>
                <w:szCs w:val="19"/>
              </w:rPr>
            </w:pPr>
            <w:r w:rsidRPr="337696F5">
              <w:rPr>
                <w:rFonts w:eastAsia="Public Sans" w:cs="Public Sans"/>
                <w:sz w:val="19"/>
                <w:szCs w:val="19"/>
              </w:rPr>
              <w:t>Online information exchange</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404FA4" w14:textId="3FB2803D" w:rsidR="3E50102B" w:rsidRDefault="3E50102B" w:rsidP="337696F5">
            <w:pPr>
              <w:rPr>
                <w:rFonts w:eastAsia="Public Sans" w:cs="Public Sans"/>
                <w:sz w:val="19"/>
                <w:szCs w:val="19"/>
              </w:rPr>
            </w:pPr>
            <w:r w:rsidRPr="337696F5">
              <w:rPr>
                <w:sz w:val="19"/>
                <w:szCs w:val="19"/>
              </w:rPr>
              <w:t>ONIX (</w:t>
            </w:r>
            <w:r w:rsidR="008C1ED3" w:rsidRPr="00E33F69">
              <w:rPr>
                <w:sz w:val="19"/>
                <w:szCs w:val="19"/>
              </w:rPr>
              <w:t>O</w:t>
            </w:r>
            <w:r w:rsidRPr="00E33F69">
              <w:rPr>
                <w:sz w:val="19"/>
                <w:szCs w:val="19"/>
              </w:rPr>
              <w:t>nline I</w:t>
            </w:r>
            <w:r w:rsidRPr="337696F5">
              <w:rPr>
                <w:sz w:val="19"/>
                <w:szCs w:val="19"/>
              </w:rPr>
              <w:t>nformation exchange) refers to any of three XML standard metadata formats developed by EDItEUR for use primarily within the book trade. ONIX was originally a single standard for capturing and communicating bibliographic data relating to books.</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F2D9A9" w14:textId="1EC5B5A1" w:rsidR="3C05F5A3" w:rsidRPr="00890A23" w:rsidRDefault="3C05F5A3" w:rsidP="337696F5">
            <w:pPr>
              <w:jc w:val="both"/>
              <w:rPr>
                <w:rFonts w:eastAsia="Public Sans" w:cs="Public Sans"/>
                <w:color w:val="0000FF"/>
                <w:sz w:val="20"/>
                <w:szCs w:val="20"/>
                <w:u w:val="single"/>
              </w:rPr>
            </w:pPr>
            <w:r w:rsidRPr="00890A23">
              <w:rPr>
                <w:rFonts w:eastAsia="Public Sans" w:cs="Public Sans"/>
                <w:color w:val="0000FF"/>
                <w:sz w:val="20"/>
                <w:szCs w:val="20"/>
                <w:u w:val="single"/>
              </w:rPr>
              <w:t>https://www.editeur.org/83/Overview/</w:t>
            </w:r>
          </w:p>
        </w:tc>
      </w:tr>
      <w:tr w:rsidR="337696F5" w14:paraId="0515608F"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D21513" w14:textId="1F989FAF" w:rsidR="356BA4E4" w:rsidRDefault="356BA4E4" w:rsidP="337696F5">
            <w:pPr>
              <w:jc w:val="both"/>
              <w:rPr>
                <w:rFonts w:eastAsia="Public Sans" w:cs="Public Sans"/>
                <w:sz w:val="19"/>
                <w:szCs w:val="19"/>
              </w:rPr>
            </w:pPr>
            <w:r w:rsidRPr="337696F5">
              <w:rPr>
                <w:rFonts w:eastAsia="Public Sans" w:cs="Public Sans"/>
                <w:sz w:val="19"/>
                <w:szCs w:val="19"/>
              </w:rPr>
              <w:lastRenderedPageBreak/>
              <w:t>PIPL</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B7C9E4" w14:textId="4D4CF7C3" w:rsidR="3C75B7D0" w:rsidRDefault="3C75B7D0" w:rsidP="337696F5">
            <w:pPr>
              <w:jc w:val="both"/>
              <w:rPr>
                <w:rFonts w:eastAsia="Public Sans" w:cs="Public Sans"/>
                <w:sz w:val="19"/>
                <w:szCs w:val="19"/>
              </w:rPr>
            </w:pPr>
            <w:r w:rsidRPr="337696F5">
              <w:rPr>
                <w:rFonts w:eastAsia="Public Sans" w:cs="Public Sans"/>
                <w:sz w:val="19"/>
                <w:szCs w:val="19"/>
              </w:rPr>
              <w:t>Personal Information and Protection Law</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5A4ED8" w14:textId="24D9A89E" w:rsidR="6F399BC7" w:rsidRDefault="6F399BC7" w:rsidP="337696F5">
            <w:pPr>
              <w:spacing w:after="160" w:line="259" w:lineRule="auto"/>
              <w:rPr>
                <w:sz w:val="19"/>
                <w:szCs w:val="19"/>
              </w:rPr>
            </w:pPr>
            <w:r w:rsidRPr="337696F5">
              <w:rPr>
                <w:sz w:val="19"/>
                <w:szCs w:val="19"/>
              </w:rPr>
              <w:t>PIPL is a Chinese law governs how personal information is collected, used, and exported. Several national standards explicitly include precise location data and tracking data as “sensitive personal information”</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0B71AB" w14:textId="66A785EF" w:rsidR="337696F5" w:rsidRPr="00890A23" w:rsidRDefault="337696F5" w:rsidP="337696F5">
            <w:pPr>
              <w:jc w:val="both"/>
              <w:rPr>
                <w:rFonts w:eastAsia="Public Sans" w:cs="Public Sans"/>
                <w:color w:val="0000FF"/>
                <w:sz w:val="20"/>
                <w:szCs w:val="20"/>
                <w:u w:val="single"/>
              </w:rPr>
            </w:pPr>
          </w:p>
        </w:tc>
      </w:tr>
      <w:tr w:rsidR="337696F5" w14:paraId="0FA3D5CB"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C6866" w14:textId="7166BA8B" w:rsidR="356BA4E4" w:rsidRDefault="356BA4E4" w:rsidP="337696F5">
            <w:pPr>
              <w:jc w:val="both"/>
              <w:rPr>
                <w:rFonts w:eastAsia="Public Sans" w:cs="Public Sans"/>
                <w:sz w:val="19"/>
                <w:szCs w:val="19"/>
              </w:rPr>
            </w:pPr>
            <w:r w:rsidRPr="337696F5">
              <w:rPr>
                <w:rFonts w:eastAsia="Public Sans" w:cs="Public Sans"/>
                <w:sz w:val="19"/>
                <w:szCs w:val="19"/>
              </w:rPr>
              <w:t>POD</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A413E5" w14:textId="4BF4D706" w:rsidR="23CE214C" w:rsidRDefault="23CE214C" w:rsidP="337696F5">
            <w:pPr>
              <w:rPr>
                <w:rFonts w:eastAsia="Public Sans" w:cs="Public Sans"/>
                <w:sz w:val="19"/>
                <w:szCs w:val="19"/>
              </w:rPr>
            </w:pPr>
            <w:r w:rsidRPr="337696F5">
              <w:rPr>
                <w:rFonts w:eastAsia="Public Sans" w:cs="Public Sans"/>
                <w:sz w:val="19"/>
                <w:szCs w:val="19"/>
              </w:rPr>
              <w:t>Print on Demand</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592311" w14:textId="15CFDE2E" w:rsidR="0B97C833" w:rsidRDefault="0B97C833" w:rsidP="337696F5">
            <w:pPr>
              <w:rPr>
                <w:rFonts w:eastAsia="Public Sans" w:cs="Public Sans"/>
                <w:sz w:val="19"/>
                <w:szCs w:val="19"/>
              </w:rPr>
            </w:pPr>
            <w:r w:rsidRPr="337696F5">
              <w:rPr>
                <w:sz w:val="19"/>
                <w:szCs w:val="19"/>
              </w:rPr>
              <w:t>Print on demand (POD) is a printing technology and business process in which book copies (or other documents, packaging, or materials) are not printed until the company receives an order, allowing prints in single or small quantities.</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A81A3" w14:textId="30D6DA67" w:rsidR="337696F5" w:rsidRPr="00890A23" w:rsidRDefault="337696F5" w:rsidP="337696F5">
            <w:pPr>
              <w:jc w:val="both"/>
              <w:rPr>
                <w:rFonts w:eastAsia="Public Sans" w:cs="Public Sans"/>
                <w:color w:val="0000FF"/>
                <w:sz w:val="20"/>
                <w:szCs w:val="20"/>
                <w:u w:val="single"/>
              </w:rPr>
            </w:pPr>
          </w:p>
        </w:tc>
      </w:tr>
      <w:tr w:rsidR="337696F5" w14:paraId="4F65FFA4"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8AD3A7" w14:textId="7A690901" w:rsidR="356BA4E4" w:rsidRDefault="356BA4E4" w:rsidP="337696F5">
            <w:pPr>
              <w:jc w:val="both"/>
              <w:rPr>
                <w:rFonts w:eastAsia="Public Sans" w:cs="Public Sans"/>
                <w:sz w:val="19"/>
                <w:szCs w:val="19"/>
              </w:rPr>
            </w:pPr>
            <w:r w:rsidRPr="337696F5">
              <w:rPr>
                <w:rFonts w:eastAsia="Public Sans" w:cs="Public Sans"/>
                <w:sz w:val="19"/>
                <w:szCs w:val="19"/>
              </w:rPr>
              <w:t>RN</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E67BB3" w14:textId="4CE21612" w:rsidR="116A10C5" w:rsidRPr="005940E7" w:rsidRDefault="116A10C5" w:rsidP="337696F5">
            <w:pPr>
              <w:jc w:val="both"/>
              <w:rPr>
                <w:rFonts w:eastAsia="Public Sans" w:cs="Public Sans"/>
                <w:sz w:val="19"/>
                <w:szCs w:val="19"/>
              </w:rPr>
            </w:pPr>
            <w:r w:rsidRPr="005940E7">
              <w:rPr>
                <w:rFonts w:eastAsia="Public Sans" w:cs="Public Sans"/>
                <w:sz w:val="19"/>
                <w:szCs w:val="19"/>
              </w:rPr>
              <w:t>Reference Number</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42B41F" w14:textId="53EE33F0" w:rsidR="3E140C72" w:rsidRDefault="3E140C72" w:rsidP="337696F5">
            <w:pPr>
              <w:jc w:val="both"/>
              <w:rPr>
                <w:rFonts w:eastAsia="Public Sans" w:cs="Public Sans"/>
                <w:sz w:val="19"/>
                <w:szCs w:val="19"/>
              </w:rPr>
            </w:pPr>
            <w:r w:rsidRPr="337696F5">
              <w:rPr>
                <w:rFonts w:eastAsia="Public Sans" w:cs="Public Sans"/>
                <w:sz w:val="19"/>
                <w:szCs w:val="19"/>
              </w:rPr>
              <w:t>This number is generated by EU Traces when a DDS is created and is the number that needs to be passed down the supply chain.</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56C550" w14:textId="79C9E3AC" w:rsidR="337696F5" w:rsidRPr="00890A23" w:rsidRDefault="337696F5" w:rsidP="337696F5">
            <w:pPr>
              <w:jc w:val="both"/>
              <w:rPr>
                <w:rFonts w:eastAsia="Public Sans" w:cs="Public Sans"/>
                <w:color w:val="0000FF"/>
                <w:sz w:val="20"/>
                <w:szCs w:val="20"/>
                <w:u w:val="single"/>
              </w:rPr>
            </w:pPr>
          </w:p>
        </w:tc>
      </w:tr>
      <w:tr w:rsidR="337696F5" w14:paraId="36338009"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B98781" w14:textId="737029A0" w:rsidR="068359F0" w:rsidRDefault="068359F0" w:rsidP="337696F5">
            <w:pPr>
              <w:jc w:val="both"/>
              <w:rPr>
                <w:rFonts w:eastAsia="Public Sans" w:cs="Public Sans"/>
                <w:sz w:val="19"/>
                <w:szCs w:val="19"/>
              </w:rPr>
            </w:pPr>
            <w:r w:rsidRPr="337696F5">
              <w:rPr>
                <w:rFonts w:eastAsia="Public Sans" w:cs="Public Sans"/>
                <w:sz w:val="19"/>
                <w:szCs w:val="19"/>
              </w:rPr>
              <w:t>TARIC</w:t>
            </w:r>
            <w:r w:rsidR="18A123A5" w:rsidRPr="337696F5">
              <w:rPr>
                <w:rFonts w:eastAsia="Public Sans" w:cs="Public Sans"/>
                <w:sz w:val="19"/>
                <w:szCs w:val="19"/>
              </w:rPr>
              <w:t xml:space="preserve"> codes</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B3439D" w14:textId="0215FAE1" w:rsidR="068359F0" w:rsidRPr="005940E7" w:rsidRDefault="068359F0" w:rsidP="337696F5">
            <w:pPr>
              <w:rPr>
                <w:rFonts w:eastAsia="Public Sans" w:cs="Public Sans"/>
                <w:sz w:val="19"/>
                <w:szCs w:val="19"/>
              </w:rPr>
            </w:pPr>
            <w:r w:rsidRPr="005940E7">
              <w:rPr>
                <w:rFonts w:eastAsia="Public Sans" w:cs="Public Sans"/>
                <w:sz w:val="19"/>
                <w:szCs w:val="19"/>
              </w:rPr>
              <w:t>Integrated Tariff of the European Communities</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D53FF6" w14:textId="4F1F990F" w:rsidR="337696F5" w:rsidRDefault="337696F5" w:rsidP="337696F5">
            <w:pPr>
              <w:jc w:val="both"/>
              <w:rPr>
                <w:rFonts w:eastAsia="Public Sans" w:cs="Public Sans"/>
                <w:sz w:val="19"/>
                <w:szCs w:val="19"/>
              </w:rPr>
            </w:pP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477DBD" w14:textId="018DF4E1" w:rsidR="54D424C8" w:rsidRPr="00890A23" w:rsidRDefault="54D424C8" w:rsidP="337696F5">
            <w:pPr>
              <w:jc w:val="both"/>
              <w:rPr>
                <w:color w:val="0000FF"/>
                <w:sz w:val="20"/>
                <w:szCs w:val="20"/>
                <w:lang w:val="en-IE"/>
              </w:rPr>
            </w:pPr>
            <w:hyperlink r:id="rId50">
              <w:r w:rsidRPr="00890A23">
                <w:rPr>
                  <w:rStyle w:val="Hyperlink"/>
                  <w:color w:val="0000FF"/>
                  <w:sz w:val="20"/>
                  <w:szCs w:val="20"/>
                  <w:lang w:val="en-IE"/>
                </w:rPr>
                <w:t>TARIC data created for Regulation (EU) 2023/1115 on deforestation and forest degradation</w:t>
              </w:r>
            </w:hyperlink>
          </w:p>
        </w:tc>
      </w:tr>
      <w:tr w:rsidR="337696F5" w14:paraId="35D7CFE9"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DA23C9" w14:textId="25CF826F" w:rsidR="337696F5" w:rsidRDefault="337696F5" w:rsidP="337696F5">
            <w:pPr>
              <w:jc w:val="both"/>
              <w:rPr>
                <w:rFonts w:eastAsia="Public Sans" w:cs="Public Sans"/>
                <w:sz w:val="19"/>
                <w:szCs w:val="19"/>
              </w:rPr>
            </w:pP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FF9AFB" w14:textId="08EDC760" w:rsidR="356BA4E4" w:rsidRDefault="356BA4E4" w:rsidP="337696F5">
            <w:pPr>
              <w:jc w:val="both"/>
              <w:rPr>
                <w:rFonts w:eastAsia="Public Sans" w:cs="Public Sans"/>
                <w:sz w:val="19"/>
                <w:szCs w:val="19"/>
              </w:rPr>
            </w:pPr>
            <w:r w:rsidRPr="337696F5">
              <w:rPr>
                <w:rFonts w:eastAsia="Public Sans" w:cs="Public Sans"/>
                <w:sz w:val="19"/>
                <w:szCs w:val="19"/>
              </w:rPr>
              <w:t>Transition period</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ECB694" w14:textId="611C81DE" w:rsidR="179282A9" w:rsidRDefault="179282A9" w:rsidP="337696F5">
            <w:pPr>
              <w:jc w:val="both"/>
              <w:rPr>
                <w:rFonts w:eastAsia="Public Sans" w:cs="Public Sans"/>
                <w:sz w:val="19"/>
                <w:szCs w:val="19"/>
              </w:rPr>
            </w:pPr>
            <w:r w:rsidRPr="337696F5">
              <w:rPr>
                <w:rFonts w:eastAsia="Public Sans" w:cs="Public Sans"/>
                <w:sz w:val="19"/>
                <w:szCs w:val="19"/>
              </w:rPr>
              <w:t>This is the period from the 29 June 2023 to 30 December 202</w:t>
            </w:r>
            <w:r w:rsidR="00133BB7">
              <w:rPr>
                <w:rFonts w:eastAsia="Public Sans" w:cs="Public Sans"/>
                <w:sz w:val="19"/>
                <w:szCs w:val="19"/>
              </w:rPr>
              <w:t>6</w:t>
            </w:r>
            <w:r w:rsidRPr="337696F5">
              <w:rPr>
                <w:rFonts w:eastAsia="Public Sans" w:cs="Public Sans"/>
                <w:sz w:val="19"/>
                <w:szCs w:val="19"/>
              </w:rPr>
              <w:t xml:space="preserve"> that due diligence statements are required for product being imported and exported from the go</w:t>
            </w:r>
            <w:r w:rsidR="23ED2323" w:rsidRPr="337696F5">
              <w:rPr>
                <w:rFonts w:eastAsia="Public Sans" w:cs="Public Sans"/>
                <w:sz w:val="19"/>
                <w:szCs w:val="19"/>
              </w:rPr>
              <w:t>-live date of 30 December 202</w:t>
            </w:r>
            <w:r w:rsidR="00133BB7">
              <w:rPr>
                <w:rFonts w:eastAsia="Public Sans" w:cs="Public Sans"/>
                <w:sz w:val="19"/>
                <w:szCs w:val="19"/>
              </w:rPr>
              <w:t>6</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32680E" w14:textId="5F0BEC69" w:rsidR="337696F5" w:rsidRPr="00890A23" w:rsidRDefault="337696F5" w:rsidP="337696F5">
            <w:pPr>
              <w:jc w:val="both"/>
              <w:rPr>
                <w:rFonts w:eastAsia="Public Sans" w:cs="Public Sans"/>
                <w:color w:val="0000FF"/>
                <w:sz w:val="20"/>
                <w:szCs w:val="20"/>
                <w:u w:val="single"/>
              </w:rPr>
            </w:pPr>
          </w:p>
        </w:tc>
      </w:tr>
      <w:tr w:rsidR="337696F5" w14:paraId="5FD813C0" w14:textId="77777777" w:rsidTr="001E3B8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7D27EF" w14:textId="0F2A7BC4" w:rsidR="356BA4E4" w:rsidRDefault="356BA4E4" w:rsidP="337696F5">
            <w:pPr>
              <w:jc w:val="both"/>
              <w:rPr>
                <w:rFonts w:eastAsia="Public Sans" w:cs="Public Sans"/>
                <w:sz w:val="19"/>
                <w:szCs w:val="19"/>
              </w:rPr>
            </w:pPr>
            <w:r w:rsidRPr="337696F5">
              <w:rPr>
                <w:rFonts w:eastAsia="Public Sans" w:cs="Public Sans"/>
                <w:sz w:val="19"/>
                <w:szCs w:val="19"/>
              </w:rPr>
              <w:t>VN</w:t>
            </w:r>
          </w:p>
        </w:tc>
        <w:tc>
          <w:tcPr>
            <w:tcW w:w="16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0CB41F" w14:textId="719FA80F" w:rsidR="0729535B" w:rsidRDefault="0729535B" w:rsidP="337696F5">
            <w:pPr>
              <w:jc w:val="both"/>
              <w:rPr>
                <w:rFonts w:eastAsia="Public Sans" w:cs="Public Sans"/>
                <w:sz w:val="19"/>
                <w:szCs w:val="19"/>
              </w:rPr>
            </w:pPr>
            <w:r w:rsidRPr="337696F5">
              <w:rPr>
                <w:rFonts w:eastAsia="Public Sans" w:cs="Public Sans"/>
                <w:sz w:val="19"/>
                <w:szCs w:val="19"/>
              </w:rPr>
              <w:t>Verification Number</w:t>
            </w:r>
          </w:p>
        </w:tc>
        <w:tc>
          <w:tcPr>
            <w:tcW w:w="43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12DE6B" w14:textId="2AFAB6B8" w:rsidR="43F08C45" w:rsidRDefault="43F08C45" w:rsidP="337696F5">
            <w:pPr>
              <w:jc w:val="both"/>
              <w:rPr>
                <w:rFonts w:eastAsia="Public Sans" w:cs="Public Sans"/>
                <w:sz w:val="19"/>
                <w:szCs w:val="19"/>
              </w:rPr>
            </w:pPr>
            <w:r w:rsidRPr="337696F5">
              <w:rPr>
                <w:rFonts w:eastAsia="Public Sans" w:cs="Public Sans"/>
                <w:sz w:val="19"/>
                <w:szCs w:val="19"/>
              </w:rPr>
              <w:t xml:space="preserve">This number is generated by EU Traces when a DDS is created and is the </w:t>
            </w:r>
            <w:r w:rsidR="1344ACEE" w:rsidRPr="337696F5">
              <w:rPr>
                <w:rFonts w:eastAsia="Public Sans" w:cs="Public Sans"/>
                <w:sz w:val="19"/>
                <w:szCs w:val="19"/>
              </w:rPr>
              <w:t>second number that needs to be passed down the supply chain.</w:t>
            </w:r>
          </w:p>
        </w:tc>
        <w:tc>
          <w:tcPr>
            <w:tcW w:w="31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70F07" w14:textId="7B002217" w:rsidR="337696F5" w:rsidRPr="00890A23" w:rsidRDefault="337696F5" w:rsidP="337696F5">
            <w:pPr>
              <w:jc w:val="both"/>
              <w:rPr>
                <w:rFonts w:eastAsia="Public Sans" w:cs="Public Sans"/>
                <w:color w:val="0000FF"/>
                <w:sz w:val="20"/>
                <w:szCs w:val="20"/>
                <w:u w:val="single"/>
              </w:rPr>
            </w:pPr>
          </w:p>
        </w:tc>
      </w:tr>
    </w:tbl>
    <w:p w14:paraId="716C6695" w14:textId="30C65847" w:rsidR="337696F5" w:rsidRDefault="337696F5" w:rsidP="337696F5">
      <w:pPr>
        <w:rPr>
          <w:sz w:val="19"/>
          <w:szCs w:val="19"/>
        </w:rPr>
      </w:pPr>
    </w:p>
    <w:sectPr w:rsidR="337696F5" w:rsidSect="006718C1">
      <w:headerReference w:type="default" r:id="rId51"/>
      <w:footerReference w:type="default" r:id="rId52"/>
      <w:headerReference w:type="first" r:id="rId53"/>
      <w:footerReference w:type="first" r:id="rId54"/>
      <w:pgSz w:w="11920" w:h="16860"/>
      <w:pgMar w:top="1134" w:right="720" w:bottom="1701" w:left="720" w:header="567" w:footer="543"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13D5" w14:textId="77777777" w:rsidR="009F2D48" w:rsidRDefault="009F2D48" w:rsidP="001639E2">
      <w:r>
        <w:separator/>
      </w:r>
    </w:p>
  </w:endnote>
  <w:endnote w:type="continuationSeparator" w:id="0">
    <w:p w14:paraId="65C9B721" w14:textId="77777777" w:rsidR="009F2D48" w:rsidRDefault="009F2D48" w:rsidP="0016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Outfit SemiBold">
    <w:altName w:val="Calibri"/>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Outfit Light">
    <w:altName w:val="Calibri"/>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5DBB2" w14:textId="448E9A05" w:rsidR="00442730" w:rsidRPr="00AF3C98" w:rsidRDefault="00442730" w:rsidP="00442730">
    <w:pPr>
      <w:pStyle w:val="Footer"/>
      <w:ind w:right="360"/>
      <w:rPr>
        <w:rFonts w:ascii="Outfit" w:hAnsi="Outfit"/>
        <w:sz w:val="18"/>
        <w:szCs w:val="18"/>
      </w:rPr>
    </w:pPr>
    <w:r w:rsidRPr="007E0260">
      <w:rPr>
        <w:rFonts w:ascii="Outfit" w:hAnsi="Outfit"/>
        <w:noProof/>
        <w:color w:val="586474"/>
      </w:rPr>
      <mc:AlternateContent>
        <mc:Choice Requires="wps">
          <w:drawing>
            <wp:anchor distT="45720" distB="45720" distL="114300" distR="114300" simplePos="0" relativeHeight="251679744" behindDoc="0" locked="0" layoutInCell="1" allowOverlap="1" wp14:anchorId="374843FF" wp14:editId="2DB78B5B">
              <wp:simplePos x="0" y="0"/>
              <wp:positionH relativeFrom="margin">
                <wp:align>right</wp:align>
              </wp:positionH>
              <wp:positionV relativeFrom="paragraph">
                <wp:posOffset>121920</wp:posOffset>
              </wp:positionV>
              <wp:extent cx="1168400" cy="2857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85750"/>
                      </a:xfrm>
                      <a:prstGeom prst="rect">
                        <a:avLst/>
                      </a:prstGeom>
                      <a:noFill/>
                      <a:ln w="9525">
                        <a:noFill/>
                        <a:miter lim="800000"/>
                        <a:headEnd/>
                        <a:tailEnd/>
                      </a:ln>
                    </wps:spPr>
                    <wps:txbx>
                      <w:txbxContent>
                        <w:p w14:paraId="51CAF13F" w14:textId="77777777" w:rsidR="00442730" w:rsidRPr="002A21E4" w:rsidRDefault="00442730" w:rsidP="00442730">
                          <w:pPr>
                            <w:jc w:val="right"/>
                            <w:rPr>
                              <w:rFonts w:ascii="Outfit" w:hAnsi="Outfit"/>
                              <w:color w:val="586474"/>
                              <w:sz w:val="18"/>
                              <w:szCs w:val="18"/>
                            </w:rPr>
                          </w:pPr>
                          <w:sdt>
                            <w:sdtPr>
                              <w:rPr>
                                <w:rFonts w:ascii="Outfit" w:hAnsi="Outfit"/>
                                <w:color w:val="586474"/>
                                <w:sz w:val="18"/>
                                <w:szCs w:val="18"/>
                              </w:rPr>
                              <w:id w:val="579716966"/>
                              <w:docPartObj>
                                <w:docPartGallery w:val="Page Numbers (Top of Page)"/>
                                <w:docPartUnique/>
                              </w:docPartObj>
                            </w:sdtPr>
                            <w:sdtContent>
                              <w:r w:rsidRPr="002A21E4">
                                <w:rPr>
                                  <w:rFonts w:ascii="Outfit" w:hAnsi="Outfit"/>
                                  <w:color w:val="586474"/>
                                  <w:sz w:val="18"/>
                                  <w:szCs w:val="18"/>
                                </w:rPr>
                                <w:t xml:space="preserve">Page </w:t>
                              </w:r>
                              <w:r w:rsidRPr="002A21E4">
                                <w:rPr>
                                  <w:rFonts w:ascii="Outfit" w:hAnsi="Outfit"/>
                                  <w:color w:val="586474"/>
                                  <w:sz w:val="18"/>
                                  <w:szCs w:val="18"/>
                                </w:rPr>
                                <w:fldChar w:fldCharType="begin"/>
                              </w:r>
                              <w:r w:rsidRPr="002A21E4">
                                <w:rPr>
                                  <w:rFonts w:ascii="Outfit" w:hAnsi="Outfit"/>
                                  <w:color w:val="586474"/>
                                  <w:sz w:val="18"/>
                                  <w:szCs w:val="18"/>
                                </w:rPr>
                                <w:instrText xml:space="preserve"> PAGE </w:instrText>
                              </w:r>
                              <w:r w:rsidRPr="002A21E4">
                                <w:rPr>
                                  <w:rFonts w:ascii="Outfit" w:hAnsi="Outfit"/>
                                  <w:color w:val="586474"/>
                                  <w:sz w:val="18"/>
                                  <w:szCs w:val="18"/>
                                </w:rPr>
                                <w:fldChar w:fldCharType="separate"/>
                              </w:r>
                              <w:r w:rsidRPr="002A21E4">
                                <w:rPr>
                                  <w:rFonts w:ascii="Outfit" w:hAnsi="Outfit"/>
                                  <w:color w:val="586474"/>
                                  <w:sz w:val="18"/>
                                  <w:szCs w:val="18"/>
                                </w:rPr>
                                <w:t>6</w:t>
                              </w:r>
                              <w:r w:rsidRPr="002A21E4">
                                <w:rPr>
                                  <w:rFonts w:ascii="Outfit" w:hAnsi="Outfit"/>
                                  <w:color w:val="586474"/>
                                  <w:sz w:val="18"/>
                                  <w:szCs w:val="18"/>
                                </w:rPr>
                                <w:fldChar w:fldCharType="end"/>
                              </w:r>
                              <w:r w:rsidRPr="002A21E4">
                                <w:rPr>
                                  <w:rFonts w:ascii="Outfit" w:hAnsi="Outfit"/>
                                  <w:color w:val="586474"/>
                                  <w:sz w:val="18"/>
                                  <w:szCs w:val="18"/>
                                </w:rPr>
                                <w:t xml:space="preserve"> of </w:t>
                              </w:r>
                              <w:r w:rsidRPr="002A21E4">
                                <w:rPr>
                                  <w:rFonts w:ascii="Outfit" w:hAnsi="Outfit"/>
                                  <w:color w:val="586474"/>
                                  <w:sz w:val="18"/>
                                  <w:szCs w:val="18"/>
                                </w:rPr>
                                <w:fldChar w:fldCharType="begin"/>
                              </w:r>
                              <w:r w:rsidRPr="002A21E4">
                                <w:rPr>
                                  <w:rFonts w:ascii="Outfit" w:hAnsi="Outfit"/>
                                  <w:color w:val="586474"/>
                                  <w:sz w:val="18"/>
                                  <w:szCs w:val="18"/>
                                </w:rPr>
                                <w:instrText xml:space="preserve"> NUMPAGES  </w:instrText>
                              </w:r>
                              <w:r w:rsidRPr="002A21E4">
                                <w:rPr>
                                  <w:rFonts w:ascii="Outfit" w:hAnsi="Outfit"/>
                                  <w:color w:val="586474"/>
                                  <w:sz w:val="18"/>
                                  <w:szCs w:val="18"/>
                                </w:rPr>
                                <w:fldChar w:fldCharType="separate"/>
                              </w:r>
                              <w:r w:rsidRPr="002A21E4">
                                <w:rPr>
                                  <w:rFonts w:ascii="Outfit" w:hAnsi="Outfit"/>
                                  <w:color w:val="586474"/>
                                  <w:sz w:val="18"/>
                                  <w:szCs w:val="18"/>
                                </w:rPr>
                                <w:t>27</w:t>
                              </w:r>
                              <w:r w:rsidRPr="002A21E4">
                                <w:rPr>
                                  <w:rFonts w:ascii="Outfit" w:hAnsi="Outfit"/>
                                  <w:color w:val="586474"/>
                                  <w:sz w:val="18"/>
                                  <w:szCs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843FF" id="_x0000_t202" coordsize="21600,21600" o:spt="202" path="m,l,21600r21600,l21600,xe">
              <v:stroke joinstyle="miter"/>
              <v:path gradientshapeok="t" o:connecttype="rect"/>
            </v:shapetype>
            <v:shape id="_x0000_s1031" type="#_x0000_t202" style="position:absolute;margin-left:40.8pt;margin-top:9.6pt;width:92pt;height:22.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" filled="f" stroked="f">
              <v:textbox>
                <w:txbxContent>
                  <w:p w14:paraId="51CAF13F" w14:textId="77777777" w:rsidR="00442730" w:rsidRPr="002A21E4" w:rsidRDefault="00442730" w:rsidP="00442730">
                    <w:pPr>
                      <w:jc w:val="right"/>
                      <w:rPr>
                        <w:rFonts w:ascii="Outfit" w:hAnsi="Outfit"/>
                        <w:color w:val="586474"/>
                        <w:sz w:val="18"/>
                        <w:szCs w:val="18"/>
                      </w:rPr>
                    </w:pPr>
                    <w:sdt>
                      <w:sdtPr>
                        <w:rPr>
                          <w:rFonts w:ascii="Outfit" w:hAnsi="Outfit"/>
                          <w:color w:val="586474"/>
                          <w:sz w:val="18"/>
                          <w:szCs w:val="18"/>
                        </w:rPr>
                        <w:id w:val="579716966"/>
                        <w:docPartObj>
                          <w:docPartGallery w:val="Page Numbers (Top of Page)"/>
                          <w:docPartUnique/>
                        </w:docPartObj>
                      </w:sdtPr>
                      <w:sdtContent>
                        <w:r w:rsidRPr="002A21E4">
                          <w:rPr>
                            <w:rFonts w:ascii="Outfit" w:hAnsi="Outfit"/>
                            <w:color w:val="586474"/>
                            <w:sz w:val="18"/>
                            <w:szCs w:val="18"/>
                          </w:rPr>
                          <w:t xml:space="preserve">Page </w:t>
                        </w:r>
                        <w:r w:rsidRPr="002A21E4">
                          <w:rPr>
                            <w:rFonts w:ascii="Outfit" w:hAnsi="Outfit"/>
                            <w:color w:val="586474"/>
                            <w:sz w:val="18"/>
                            <w:szCs w:val="18"/>
                          </w:rPr>
                          <w:fldChar w:fldCharType="begin"/>
                        </w:r>
                        <w:r w:rsidRPr="002A21E4">
                          <w:rPr>
                            <w:rFonts w:ascii="Outfit" w:hAnsi="Outfit"/>
                            <w:color w:val="586474"/>
                            <w:sz w:val="18"/>
                            <w:szCs w:val="18"/>
                          </w:rPr>
                          <w:instrText xml:space="preserve"> PAGE </w:instrText>
                        </w:r>
                        <w:r w:rsidRPr="002A21E4">
                          <w:rPr>
                            <w:rFonts w:ascii="Outfit" w:hAnsi="Outfit"/>
                            <w:color w:val="586474"/>
                            <w:sz w:val="18"/>
                            <w:szCs w:val="18"/>
                          </w:rPr>
                          <w:fldChar w:fldCharType="separate"/>
                        </w:r>
                        <w:r w:rsidRPr="002A21E4">
                          <w:rPr>
                            <w:rFonts w:ascii="Outfit" w:hAnsi="Outfit"/>
                            <w:color w:val="586474"/>
                            <w:sz w:val="18"/>
                            <w:szCs w:val="18"/>
                          </w:rPr>
                          <w:t>6</w:t>
                        </w:r>
                        <w:r w:rsidRPr="002A21E4">
                          <w:rPr>
                            <w:rFonts w:ascii="Outfit" w:hAnsi="Outfit"/>
                            <w:color w:val="586474"/>
                            <w:sz w:val="18"/>
                            <w:szCs w:val="18"/>
                          </w:rPr>
                          <w:fldChar w:fldCharType="end"/>
                        </w:r>
                        <w:r w:rsidRPr="002A21E4">
                          <w:rPr>
                            <w:rFonts w:ascii="Outfit" w:hAnsi="Outfit"/>
                            <w:color w:val="586474"/>
                            <w:sz w:val="18"/>
                            <w:szCs w:val="18"/>
                          </w:rPr>
                          <w:t xml:space="preserve"> of </w:t>
                        </w:r>
                        <w:r w:rsidRPr="002A21E4">
                          <w:rPr>
                            <w:rFonts w:ascii="Outfit" w:hAnsi="Outfit"/>
                            <w:color w:val="586474"/>
                            <w:sz w:val="18"/>
                            <w:szCs w:val="18"/>
                          </w:rPr>
                          <w:fldChar w:fldCharType="begin"/>
                        </w:r>
                        <w:r w:rsidRPr="002A21E4">
                          <w:rPr>
                            <w:rFonts w:ascii="Outfit" w:hAnsi="Outfit"/>
                            <w:color w:val="586474"/>
                            <w:sz w:val="18"/>
                            <w:szCs w:val="18"/>
                          </w:rPr>
                          <w:instrText xml:space="preserve"> NUMPAGES  </w:instrText>
                        </w:r>
                        <w:r w:rsidRPr="002A21E4">
                          <w:rPr>
                            <w:rFonts w:ascii="Outfit" w:hAnsi="Outfit"/>
                            <w:color w:val="586474"/>
                            <w:sz w:val="18"/>
                            <w:szCs w:val="18"/>
                          </w:rPr>
                          <w:fldChar w:fldCharType="separate"/>
                        </w:r>
                        <w:r w:rsidRPr="002A21E4">
                          <w:rPr>
                            <w:rFonts w:ascii="Outfit" w:hAnsi="Outfit"/>
                            <w:color w:val="586474"/>
                            <w:sz w:val="18"/>
                            <w:szCs w:val="18"/>
                          </w:rPr>
                          <w:t>27</w:t>
                        </w:r>
                        <w:r w:rsidRPr="002A21E4">
                          <w:rPr>
                            <w:rFonts w:ascii="Outfit" w:hAnsi="Outfit"/>
                            <w:color w:val="586474"/>
                            <w:sz w:val="18"/>
                            <w:szCs w:val="18"/>
                          </w:rPr>
                          <w:fldChar w:fldCharType="end"/>
                        </w:r>
                      </w:sdtContent>
                    </w:sdt>
                  </w:p>
                </w:txbxContent>
              </v:textbox>
              <w10:wrap type="square" anchorx="margin"/>
            </v:shape>
          </w:pict>
        </mc:Fallback>
      </mc:AlternateContent>
    </w:r>
    <w:r w:rsidRPr="007F7ACD">
      <w:rPr>
        <w:rFonts w:ascii="Outfit" w:hAnsi="Outfit"/>
        <w:noProof/>
        <w:sz w:val="18"/>
        <w:szCs w:val="18"/>
      </w:rPr>
      <w:drawing>
        <wp:anchor distT="0" distB="0" distL="114300" distR="114300" simplePos="0" relativeHeight="251678720" behindDoc="1" locked="0" layoutInCell="1" allowOverlap="1" wp14:anchorId="0F192C32" wp14:editId="5403B083">
          <wp:simplePos x="0" y="0"/>
          <wp:positionH relativeFrom="margin">
            <wp:align>left</wp:align>
          </wp:positionH>
          <wp:positionV relativeFrom="paragraph">
            <wp:posOffset>-48260</wp:posOffset>
          </wp:positionV>
          <wp:extent cx="660400" cy="455930"/>
          <wp:effectExtent l="0" t="0" r="6350" b="1270"/>
          <wp:wrapTight wrapText="bothSides">
            <wp:wrapPolygon edited="0">
              <wp:start x="3115" y="0"/>
              <wp:lineTo x="1246" y="1805"/>
              <wp:lineTo x="0" y="8123"/>
              <wp:lineTo x="0" y="20758"/>
              <wp:lineTo x="21185" y="20758"/>
              <wp:lineTo x="21185" y="8123"/>
              <wp:lineTo x="19938" y="1805"/>
              <wp:lineTo x="18069" y="0"/>
              <wp:lineTo x="3115" y="0"/>
            </wp:wrapPolygon>
          </wp:wrapTight>
          <wp:docPr id="1" name="Picture 1" descr="A blue book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ook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0400" cy="455930"/>
                  </a:xfrm>
                  <a:prstGeom prst="rect">
                    <a:avLst/>
                  </a:prstGeom>
                </pic:spPr>
              </pic:pic>
            </a:graphicData>
          </a:graphic>
          <wp14:sizeRelH relativeFrom="page">
            <wp14:pctWidth>0</wp14:pctWidth>
          </wp14:sizeRelH>
          <wp14:sizeRelV relativeFrom="page">
            <wp14:pctHeight>0</wp14:pctHeight>
          </wp14:sizeRelV>
        </wp:anchor>
      </w:drawing>
    </w:r>
    <w:r w:rsidRPr="00AF3C98">
      <w:rPr>
        <w:rFonts w:ascii="Outfit" w:hAnsi="Outfit"/>
        <w:sz w:val="18"/>
        <w:szCs w:val="18"/>
      </w:rPr>
      <w:t>Book Industry Communication Ltd.</w:t>
    </w:r>
  </w:p>
  <w:p w14:paraId="1D1A2564" w14:textId="77777777" w:rsidR="00442730" w:rsidRPr="00AF3C98" w:rsidRDefault="00442730" w:rsidP="00442730">
    <w:pPr>
      <w:pStyle w:val="Footer"/>
      <w:rPr>
        <w:rFonts w:ascii="Outfit Light" w:hAnsi="Outfit Light"/>
        <w:color w:val="586474"/>
        <w:sz w:val="18"/>
        <w:szCs w:val="18"/>
      </w:rPr>
    </w:pPr>
    <w:r w:rsidRPr="00AF3C98">
      <w:rPr>
        <w:rStyle w:val="s1ppyq"/>
        <w:rFonts w:ascii="Outfit Light" w:eastAsia="Arial Unicode MS" w:hAnsi="Outfit Light"/>
        <w:color w:val="586474"/>
        <w:sz w:val="18"/>
        <w:szCs w:val="18"/>
      </w:rPr>
      <w:t>The Book Industry’s Supply Chain Organisation – UK &amp; Ireland</w:t>
    </w:r>
  </w:p>
  <w:p w14:paraId="4AA32014" w14:textId="0CC6DC9F" w:rsidR="00013DA6" w:rsidRPr="00013DA6" w:rsidRDefault="00013DA6" w:rsidP="164D15C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2ECA" w14:textId="77777777" w:rsidR="00D42C08" w:rsidRPr="009F217A" w:rsidRDefault="00013DA6" w:rsidP="001639E2">
    <w:pPr>
      <w:pStyle w:val="Footer"/>
      <w:rPr>
        <w:rFonts w:asciiTheme="minorHAnsi" w:hAnsiTheme="minorHAnsi" w:cstheme="minorHAnsi"/>
      </w:rPr>
    </w:pPr>
    <w:r w:rsidRPr="000245C7">
      <w:rPr>
        <w:rFonts w:eastAsia="Arial Unicode MS"/>
        <w:noProof/>
        <w:u w:val="single"/>
        <w:bdr w:val="nil"/>
      </w:rPr>
      <w:drawing>
        <wp:anchor distT="0" distB="0" distL="114300" distR="114300" simplePos="0" relativeHeight="251664384" behindDoc="1" locked="0" layoutInCell="1" allowOverlap="1" wp14:anchorId="6E9C6616" wp14:editId="010556C1">
          <wp:simplePos x="0" y="0"/>
          <wp:positionH relativeFrom="column">
            <wp:posOffset>3487176</wp:posOffset>
          </wp:positionH>
          <wp:positionV relativeFrom="paragraph">
            <wp:posOffset>-3141932</wp:posOffset>
          </wp:positionV>
          <wp:extent cx="4732704" cy="4732704"/>
          <wp:effectExtent l="0" t="0" r="4445" b="4445"/>
          <wp:wrapNone/>
          <wp:docPr id="116912050" name="Picture 116912050" descr="Shape,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background pattern&#10;&#10;Description automatically generated"/>
                  <pic:cNvPicPr/>
                </pic:nvPicPr>
                <pic:blipFill>
                  <a:blip r:embed="rId1">
                    <a:alphaModFix amt="34000"/>
                    <a:extLst>
                      <a:ext uri="{28A0092B-C50C-407E-A947-70E740481C1C}">
                        <a14:useLocalDpi xmlns:a14="http://schemas.microsoft.com/office/drawing/2010/main" val="0"/>
                      </a:ext>
                    </a:extLst>
                  </a:blip>
                  <a:stretch>
                    <a:fillRect/>
                  </a:stretch>
                </pic:blipFill>
                <pic:spPr>
                  <a:xfrm>
                    <a:off x="0" y="0"/>
                    <a:ext cx="4732704" cy="4732704"/>
                  </a:xfrm>
                  <a:prstGeom prst="rect">
                    <a:avLst/>
                  </a:prstGeom>
                </pic:spPr>
              </pic:pic>
            </a:graphicData>
          </a:graphic>
          <wp14:sizeRelH relativeFrom="page">
            <wp14:pctWidth>0</wp14:pctWidth>
          </wp14:sizeRelH>
          <wp14:sizeRelV relativeFrom="page">
            <wp14:pctHeight>0</wp14:pctHeight>
          </wp14:sizeRelV>
        </wp:anchor>
      </w:drawing>
    </w:r>
    <w:r w:rsidR="009F217A" w:rsidRPr="000245C7">
      <w:rPr>
        <w:noProof/>
        <w:color w:val="586474"/>
        <w:sz w:val="20"/>
        <w:szCs w:val="20"/>
      </w:rPr>
      <mc:AlternateContent>
        <mc:Choice Requires="wps">
          <w:drawing>
            <wp:anchor distT="0" distB="0" distL="114300" distR="114300" simplePos="0" relativeHeight="251665408" behindDoc="1" locked="0" layoutInCell="1" allowOverlap="1" wp14:anchorId="44DDC7DC" wp14:editId="0B492109">
              <wp:simplePos x="0" y="0"/>
              <wp:positionH relativeFrom="column">
                <wp:posOffset>-2560320</wp:posOffset>
              </wp:positionH>
              <wp:positionV relativeFrom="paragraph">
                <wp:posOffset>248285</wp:posOffset>
              </wp:positionV>
              <wp:extent cx="10787974" cy="434056"/>
              <wp:effectExtent l="0" t="0" r="0" b="0"/>
              <wp:wrapNone/>
              <wp:docPr id="4" name="Rectangle 4"/>
              <wp:cNvGraphicFramePr/>
              <a:graphic xmlns:a="http://schemas.openxmlformats.org/drawingml/2006/main">
                <a:graphicData uri="http://schemas.microsoft.com/office/word/2010/wordprocessingShape">
                  <wps:wsp>
                    <wps:cNvSpPr/>
                    <wps:spPr>
                      <a:xfrm>
                        <a:off x="0" y="0"/>
                        <a:ext cx="10787974" cy="434056"/>
                      </a:xfrm>
                      <a:prstGeom prst="rect">
                        <a:avLst/>
                      </a:prstGeom>
                      <a:solidFill>
                        <a:srgbClr val="1984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B2A64" id="Rectangle 4" o:spid="_x0000_s1026" style="position:absolute;margin-left:-201.6pt;margin-top:19.55pt;width:849.45pt;height:34.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" fillcolor="#19845f"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F276" w14:textId="77777777" w:rsidR="009F2D48" w:rsidRDefault="009F2D48" w:rsidP="001639E2">
      <w:r>
        <w:separator/>
      </w:r>
    </w:p>
  </w:footnote>
  <w:footnote w:type="continuationSeparator" w:id="0">
    <w:p w14:paraId="17FFB4D6" w14:textId="77777777" w:rsidR="009F2D48" w:rsidRDefault="009F2D48" w:rsidP="001639E2">
      <w:r>
        <w:continuationSeparator/>
      </w:r>
    </w:p>
  </w:footnote>
  <w:footnote w:id="1">
    <w:p w14:paraId="1CCAAFE6" w14:textId="77777777" w:rsidR="002300F1" w:rsidRDefault="002300F1" w:rsidP="0A88F668">
      <w:pPr>
        <w:pStyle w:val="FootnoteText"/>
      </w:pPr>
      <w:r w:rsidRPr="0A88F668">
        <w:rPr>
          <w:rStyle w:val="FootnoteReference"/>
        </w:rPr>
        <w:footnoteRef/>
      </w:r>
      <w:r>
        <w:t xml:space="preserve"> Manual creation of a user.pdf courtesy of the EU Commission</w:t>
      </w:r>
    </w:p>
  </w:footnote>
  <w:footnote w:id="2">
    <w:p w14:paraId="48057DDA" w14:textId="27D280AA" w:rsidR="00DC1BB9" w:rsidRDefault="00DC1BB9">
      <w:pPr>
        <w:pStyle w:val="FootnoteText"/>
      </w:pPr>
      <w:r>
        <w:rPr>
          <w:rStyle w:val="FootnoteReference"/>
        </w:rPr>
        <w:footnoteRef/>
      </w:r>
      <w:r>
        <w:t xml:space="preserve"> </w:t>
      </w:r>
      <w:r w:rsidR="00FC2BDF">
        <w:t xml:space="preserve">This abridged information comes from </w:t>
      </w:r>
      <w:hyperlink r:id="rId1" w:history="1">
        <w:r w:rsidR="00FC2BDF" w:rsidRPr="00FC2BDF">
          <w:rPr>
            <w:rStyle w:val="Hyperlink"/>
          </w:rPr>
          <w:t>CMS Law-Now</w:t>
        </w:r>
      </w:hyperlink>
      <w:r w:rsidR="00BC43E3" w:rsidRPr="00426DF9">
        <w:rPr>
          <w:sz w:val="22"/>
          <w:szCs w:val="22"/>
          <w:vertAlign w:val="superscript"/>
        </w:rPr>
        <w:t>™</w:t>
      </w:r>
    </w:p>
  </w:footnote>
  <w:footnote w:id="3">
    <w:p w14:paraId="2D554568" w14:textId="6E1C99B9" w:rsidR="001F6A18" w:rsidRDefault="001F6A18">
      <w:pPr>
        <w:pStyle w:val="FootnoteText"/>
      </w:pPr>
      <w:r>
        <w:rPr>
          <w:rStyle w:val="FootnoteReference"/>
        </w:rPr>
        <w:footnoteRef/>
      </w:r>
      <w:r>
        <w:t xml:space="preserve"> Courtesy of the European Commission’s </w:t>
      </w:r>
      <w:r w:rsidR="00242F34">
        <w:t>single administrative document (SAD) customs documentation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F80C" w14:textId="065C4331" w:rsidR="00C04BB4" w:rsidRPr="007E0260" w:rsidRDefault="00E63A5A" w:rsidP="001639E2">
    <w:pPr>
      <w:pStyle w:val="BodyText"/>
      <w:rPr>
        <w:rFonts w:ascii="Outfit" w:hAnsi="Outfit"/>
        <w:color w:val="586474"/>
        <w:sz w:val="20"/>
        <w:szCs w:val="20"/>
      </w:rPr>
    </w:pPr>
    <w:r>
      <w:rPr>
        <w:noProof/>
      </w:rPr>
      <mc:AlternateContent>
        <mc:Choice Requires="wps">
          <w:drawing>
            <wp:anchor distT="45720" distB="45720" distL="114300" distR="114300" simplePos="0" relativeHeight="251676672" behindDoc="0" locked="0" layoutInCell="1" allowOverlap="1" wp14:anchorId="123B792F" wp14:editId="17941F5A">
              <wp:simplePos x="0" y="0"/>
              <wp:positionH relativeFrom="margin">
                <wp:posOffset>4892041</wp:posOffset>
              </wp:positionH>
              <wp:positionV relativeFrom="paragraph">
                <wp:posOffset>-78105</wp:posOffset>
              </wp:positionV>
              <wp:extent cx="1844040" cy="28194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281940"/>
                      </a:xfrm>
                      <a:prstGeom prst="rect">
                        <a:avLst/>
                      </a:prstGeom>
                      <a:noFill/>
                      <a:ln w="9525">
                        <a:noFill/>
                        <a:miter lim="800000"/>
                        <a:headEnd/>
                        <a:tailEnd/>
                      </a:ln>
                    </wps:spPr>
                    <wps:txbx>
                      <w:txbxContent>
                        <w:p w14:paraId="4C4AB8B1" w14:textId="0D93FC45" w:rsidR="00013DA6" w:rsidRPr="003203AE" w:rsidRDefault="00FF5B2E" w:rsidP="001639E2">
                          <w:pPr>
                            <w:rPr>
                              <w:rFonts w:ascii="Outfit" w:hAnsi="Outfit"/>
                              <w:color w:val="808080" w:themeColor="background1" w:themeShade="80"/>
                              <w:sz w:val="20"/>
                              <w:szCs w:val="20"/>
                            </w:rPr>
                          </w:pPr>
                          <w:r w:rsidRPr="003203AE">
                            <w:rPr>
                              <w:rFonts w:ascii="Outfit" w:hAnsi="Outfit"/>
                              <w:color w:val="808080" w:themeColor="background1" w:themeShade="80"/>
                              <w:sz w:val="20"/>
                              <w:szCs w:val="20"/>
                            </w:rPr>
                            <w:t>Helpful Information</w:t>
                          </w:r>
                          <w:r w:rsidR="00E63A5A">
                            <w:rPr>
                              <w:rFonts w:ascii="Outfit" w:hAnsi="Outfit"/>
                              <w:color w:val="808080" w:themeColor="background1" w:themeShade="80"/>
                              <w:sz w:val="20"/>
                              <w:szCs w:val="20"/>
                            </w:rPr>
                            <w:t xml:space="preserve"> V2</w:t>
                          </w:r>
                          <w:r w:rsidR="00013DA6" w:rsidRPr="003203AE">
                            <w:rPr>
                              <w:rFonts w:ascii="Outfit" w:hAnsi="Outfit"/>
                              <w:color w:val="808080" w:themeColor="background1" w:themeShade="80"/>
                              <w:sz w:val="20"/>
                              <w:szCs w:val="20"/>
                            </w:rPr>
                            <w:t xml:space="preserve"> 1.0</w:t>
                          </w:r>
                          <w:r w:rsidR="000A3DFE" w:rsidRPr="003203AE">
                            <w:rPr>
                              <w:rFonts w:ascii="Outfit" w:hAnsi="Outfit"/>
                              <w:color w:val="808080" w:themeColor="background1" w:themeShade="80"/>
                              <w:sz w:val="20"/>
                              <w:szCs w:val="20"/>
                            </w:rPr>
                            <w:t>.</w:t>
                          </w:r>
                          <w:r w:rsidR="00E63A5A">
                            <w:rPr>
                              <w:rFonts w:ascii="Outfit" w:hAnsi="Outfit"/>
                              <w:color w:val="808080" w:themeColor="background1" w:themeShade="80"/>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B792F" id="_x0000_t202" coordsize="21600,21600" o:spt="202" path="m,l,21600r21600,l21600,xe">
              <v:stroke joinstyle="miter"/>
              <v:path gradientshapeok="t" o:connecttype="rect"/>
            </v:shapetype>
            <v:shape id="Text Box 10" o:spid="_x0000_s1028" type="#_x0000_t202" style="position:absolute;margin-left:385.2pt;margin-top:-6.15pt;width:145.2pt;height:22.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" filled="f" stroked="f">
              <v:textbox>
                <w:txbxContent>
                  <w:p w14:paraId="4C4AB8B1" w14:textId="0D93FC45" w:rsidR="00013DA6" w:rsidRPr="003203AE" w:rsidRDefault="00FF5B2E" w:rsidP="001639E2">
                    <w:pPr>
                      <w:rPr>
                        <w:rFonts w:ascii="Outfit" w:hAnsi="Outfit"/>
                        <w:color w:val="808080" w:themeColor="background1" w:themeShade="80"/>
                        <w:sz w:val="20"/>
                        <w:szCs w:val="20"/>
                      </w:rPr>
                    </w:pPr>
                    <w:r w:rsidRPr="003203AE">
                      <w:rPr>
                        <w:rFonts w:ascii="Outfit" w:hAnsi="Outfit"/>
                        <w:color w:val="808080" w:themeColor="background1" w:themeShade="80"/>
                        <w:sz w:val="20"/>
                        <w:szCs w:val="20"/>
                      </w:rPr>
                      <w:t>Helpful Information</w:t>
                    </w:r>
                    <w:r w:rsidR="00E63A5A">
                      <w:rPr>
                        <w:rFonts w:ascii="Outfit" w:hAnsi="Outfit"/>
                        <w:color w:val="808080" w:themeColor="background1" w:themeShade="80"/>
                        <w:sz w:val="20"/>
                        <w:szCs w:val="20"/>
                      </w:rPr>
                      <w:t xml:space="preserve"> V2</w:t>
                    </w:r>
                    <w:r w:rsidR="00013DA6" w:rsidRPr="003203AE">
                      <w:rPr>
                        <w:rFonts w:ascii="Outfit" w:hAnsi="Outfit"/>
                        <w:color w:val="808080" w:themeColor="background1" w:themeShade="80"/>
                        <w:sz w:val="20"/>
                        <w:szCs w:val="20"/>
                      </w:rPr>
                      <w:t xml:space="preserve"> 1.0</w:t>
                    </w:r>
                    <w:r w:rsidR="000A3DFE" w:rsidRPr="003203AE">
                      <w:rPr>
                        <w:rFonts w:ascii="Outfit" w:hAnsi="Outfit"/>
                        <w:color w:val="808080" w:themeColor="background1" w:themeShade="80"/>
                        <w:sz w:val="20"/>
                        <w:szCs w:val="20"/>
                      </w:rPr>
                      <w:t>.</w:t>
                    </w:r>
                    <w:r w:rsidR="00E63A5A">
                      <w:rPr>
                        <w:rFonts w:ascii="Outfit" w:hAnsi="Outfit"/>
                        <w:color w:val="808080" w:themeColor="background1" w:themeShade="80"/>
                        <w:sz w:val="20"/>
                        <w:szCs w:val="20"/>
                      </w:rPr>
                      <w:t>0</w:t>
                    </w:r>
                  </w:p>
                </w:txbxContent>
              </v:textbox>
              <w10:wrap anchorx="margin"/>
            </v:shape>
          </w:pict>
        </mc:Fallback>
      </mc:AlternateContent>
    </w:r>
    <w:r w:rsidR="003203AE">
      <w:rPr>
        <w:noProof/>
      </w:rPr>
      <mc:AlternateContent>
        <mc:Choice Requires="wps">
          <w:drawing>
            <wp:anchor distT="45720" distB="45720" distL="114300" distR="114300" simplePos="0" relativeHeight="251671552" behindDoc="0" locked="0" layoutInCell="1" allowOverlap="1" wp14:anchorId="77F81083" wp14:editId="34D4285F">
              <wp:simplePos x="0" y="0"/>
              <wp:positionH relativeFrom="page">
                <wp:posOffset>374706</wp:posOffset>
              </wp:positionH>
              <wp:positionV relativeFrom="paragraph">
                <wp:posOffset>-93345</wp:posOffset>
              </wp:positionV>
              <wp:extent cx="1821815" cy="2819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81940"/>
                      </a:xfrm>
                      <a:prstGeom prst="rect">
                        <a:avLst/>
                      </a:prstGeom>
                      <a:noFill/>
                      <a:ln w="9525">
                        <a:noFill/>
                        <a:miter lim="800000"/>
                        <a:headEnd/>
                        <a:tailEnd/>
                      </a:ln>
                    </wps:spPr>
                    <wps:txbx>
                      <w:txbxContent>
                        <w:p w14:paraId="1B6B32C8" w14:textId="7D75CF54" w:rsidR="007E0260" w:rsidRPr="003203AE" w:rsidRDefault="007E0260" w:rsidP="001639E2">
                          <w:pPr>
                            <w:rPr>
                              <w:rFonts w:ascii="Outfit" w:hAnsi="Outfit"/>
                              <w:color w:val="808080" w:themeColor="background1" w:themeShade="80"/>
                              <w:sz w:val="20"/>
                              <w:szCs w:val="20"/>
                            </w:rPr>
                          </w:pPr>
                          <w:r w:rsidRPr="003203AE">
                            <w:rPr>
                              <w:rFonts w:ascii="Outfit" w:hAnsi="Outfit"/>
                              <w:color w:val="808080" w:themeColor="background1" w:themeShade="80"/>
                              <w:sz w:val="20"/>
                              <w:szCs w:val="20"/>
                            </w:rPr>
                            <w:t xml:space="preserve">BIC </w:t>
                          </w:r>
                          <w:r w:rsidR="003203AE">
                            <w:rPr>
                              <w:rFonts w:ascii="Outfit" w:hAnsi="Outfit"/>
                              <w:color w:val="808080" w:themeColor="background1" w:themeShade="80"/>
                              <w:sz w:val="20"/>
                              <w:szCs w:val="20"/>
                            </w:rPr>
                            <w:t xml:space="preserve">EUDR </w:t>
                          </w:r>
                          <w:r w:rsidR="00A87E39" w:rsidRPr="003203AE">
                            <w:rPr>
                              <w:rFonts w:ascii="Outfit" w:hAnsi="Outfit"/>
                              <w:color w:val="808080" w:themeColor="background1" w:themeShade="80"/>
                              <w:sz w:val="20"/>
                              <w:szCs w:val="20"/>
                            </w:rPr>
                            <w:t>Guidance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81083" id="Text Box 3" o:spid="_x0000_s1029" type="#_x0000_t202" style="position:absolute;margin-left:29.5pt;margin-top:-7.35pt;width:143.45pt;height:22.2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" filled="f" stroked="f">
              <v:textbox>
                <w:txbxContent>
                  <w:p w14:paraId="1B6B32C8" w14:textId="7D75CF54" w:rsidR="007E0260" w:rsidRPr="003203AE" w:rsidRDefault="007E0260" w:rsidP="001639E2">
                    <w:pPr>
                      <w:rPr>
                        <w:rFonts w:ascii="Outfit" w:hAnsi="Outfit"/>
                        <w:color w:val="808080" w:themeColor="background1" w:themeShade="80"/>
                        <w:sz w:val="20"/>
                        <w:szCs w:val="20"/>
                      </w:rPr>
                    </w:pPr>
                    <w:r w:rsidRPr="003203AE">
                      <w:rPr>
                        <w:rFonts w:ascii="Outfit" w:hAnsi="Outfit"/>
                        <w:color w:val="808080" w:themeColor="background1" w:themeShade="80"/>
                        <w:sz w:val="20"/>
                        <w:szCs w:val="20"/>
                      </w:rPr>
                      <w:t xml:space="preserve">BIC </w:t>
                    </w:r>
                    <w:r w:rsidR="003203AE">
                      <w:rPr>
                        <w:rFonts w:ascii="Outfit" w:hAnsi="Outfit"/>
                        <w:color w:val="808080" w:themeColor="background1" w:themeShade="80"/>
                        <w:sz w:val="20"/>
                        <w:szCs w:val="20"/>
                      </w:rPr>
                      <w:t xml:space="preserve">EUDR </w:t>
                    </w:r>
                    <w:r w:rsidR="00A87E39" w:rsidRPr="003203AE">
                      <w:rPr>
                        <w:rFonts w:ascii="Outfit" w:hAnsi="Outfit"/>
                        <w:color w:val="808080" w:themeColor="background1" w:themeShade="80"/>
                        <w:sz w:val="20"/>
                        <w:szCs w:val="20"/>
                      </w:rPr>
                      <w:t>Guidance</w:t>
                    </w:r>
                  </w:p>
                </w:txbxContent>
              </v:textbox>
              <w10:wrap anchorx="page"/>
            </v:shape>
          </w:pict>
        </mc:Fallback>
      </mc:AlternateContent>
    </w:r>
    <w:r w:rsidR="007E0260">
      <w:rPr>
        <w:noProof/>
      </w:rPr>
      <mc:AlternateContent>
        <mc:Choice Requires="wps">
          <w:drawing>
            <wp:anchor distT="45720" distB="45720" distL="114300" distR="114300" simplePos="0" relativeHeight="251669504" behindDoc="0" locked="0" layoutInCell="1" allowOverlap="1" wp14:anchorId="625A906F" wp14:editId="4763EA6F">
              <wp:simplePos x="0" y="0"/>
              <wp:positionH relativeFrom="page">
                <wp:posOffset>8618166</wp:posOffset>
              </wp:positionH>
              <wp:positionV relativeFrom="paragraph">
                <wp:posOffset>-48678</wp:posOffset>
              </wp:positionV>
              <wp:extent cx="1821978" cy="282102"/>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978" cy="282102"/>
                      </a:xfrm>
                      <a:prstGeom prst="rect">
                        <a:avLst/>
                      </a:prstGeom>
                      <a:noFill/>
                      <a:ln w="9525">
                        <a:noFill/>
                        <a:miter lim="800000"/>
                        <a:headEnd/>
                        <a:tailEnd/>
                      </a:ln>
                    </wps:spPr>
                    <wps:txbx>
                      <w:txbxContent>
                        <w:p w14:paraId="273FA47B" w14:textId="77777777" w:rsidR="007E0260" w:rsidRPr="007E0260" w:rsidRDefault="007E0260" w:rsidP="001639E2">
                          <w:r w:rsidRPr="007E0260">
                            <w:t>Subtitle of Guide, Version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A906F" id="_x0000_s1030" type="#_x0000_t202" style="position:absolute;margin-left:678.6pt;margin-top:-3.85pt;width:143.45pt;height:22.2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" filled="f" stroked="f">
              <v:textbox>
                <w:txbxContent>
                  <w:p w14:paraId="273FA47B" w14:textId="77777777" w:rsidR="007E0260" w:rsidRPr="007E0260" w:rsidRDefault="007E0260" w:rsidP="001639E2">
                    <w:r w:rsidRPr="007E0260">
                      <w:t>Subtitle of Guide, Version 1.0</w:t>
                    </w:r>
                  </w:p>
                </w:txbxContent>
              </v:textbox>
              <w10:wrap anchorx="page"/>
            </v:shape>
          </w:pict>
        </mc:Fallback>
      </mc:AlternateContent>
    </w:r>
    <w:r w:rsidR="007E0260">
      <w:rPr>
        <w:rFonts w:ascii="Outfit" w:eastAsiaTheme="minorHAnsi" w:hAnsi="Outfit" w:cstheme="minorBidi"/>
        <w:color w:val="586474"/>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0"/>
      <w:gridCol w:w="3490"/>
      <w:gridCol w:w="3490"/>
    </w:tblGrid>
    <w:tr w:rsidR="164D15C9" w14:paraId="306D2494" w14:textId="77777777" w:rsidTr="164D15C9">
      <w:trPr>
        <w:trHeight w:val="300"/>
      </w:trPr>
      <w:tc>
        <w:tcPr>
          <w:tcW w:w="3490" w:type="dxa"/>
        </w:tcPr>
        <w:p w14:paraId="4249E90D" w14:textId="0DF47100" w:rsidR="164D15C9" w:rsidRDefault="164D15C9" w:rsidP="164D15C9">
          <w:pPr>
            <w:pStyle w:val="Header"/>
            <w:ind w:left="-115"/>
          </w:pPr>
        </w:p>
      </w:tc>
      <w:tc>
        <w:tcPr>
          <w:tcW w:w="3490" w:type="dxa"/>
        </w:tcPr>
        <w:p w14:paraId="4A90A399" w14:textId="1A7A10B8" w:rsidR="164D15C9" w:rsidRDefault="164D15C9" w:rsidP="164D15C9">
          <w:pPr>
            <w:pStyle w:val="Header"/>
            <w:jc w:val="center"/>
          </w:pPr>
        </w:p>
      </w:tc>
      <w:tc>
        <w:tcPr>
          <w:tcW w:w="3490" w:type="dxa"/>
        </w:tcPr>
        <w:p w14:paraId="48F53A97" w14:textId="096AD2DB" w:rsidR="164D15C9" w:rsidRDefault="164D15C9" w:rsidP="164D15C9">
          <w:pPr>
            <w:pStyle w:val="Header"/>
            <w:ind w:right="-115"/>
            <w:jc w:val="right"/>
          </w:pPr>
        </w:p>
      </w:tc>
    </w:tr>
  </w:tbl>
  <w:p w14:paraId="65FF5617" w14:textId="5BDEECB2" w:rsidR="164D15C9" w:rsidRDefault="164D15C9" w:rsidP="164D15C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k5xXj2X" int2:invalidationBookmarkName="" int2:hashCode="0ahQmAtWBDElnu" int2:id="SrJPTfI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C81"/>
    <w:multiLevelType w:val="multilevel"/>
    <w:tmpl w:val="B62A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62BD6"/>
    <w:multiLevelType w:val="multilevel"/>
    <w:tmpl w:val="D5B8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79CB5E"/>
    <w:multiLevelType w:val="hybridMultilevel"/>
    <w:tmpl w:val="B63E1B54"/>
    <w:lvl w:ilvl="0" w:tplc="D8CCC852">
      <w:start w:val="1"/>
      <w:numFmt w:val="bullet"/>
      <w:lvlText w:val=""/>
      <w:lvlJc w:val="left"/>
      <w:pPr>
        <w:ind w:left="720" w:hanging="360"/>
      </w:pPr>
      <w:rPr>
        <w:rFonts w:ascii="Symbol" w:hAnsi="Symbol" w:hint="default"/>
      </w:rPr>
    </w:lvl>
    <w:lvl w:ilvl="1" w:tplc="8A36A832">
      <w:start w:val="1"/>
      <w:numFmt w:val="bullet"/>
      <w:lvlText w:val="o"/>
      <w:lvlJc w:val="left"/>
      <w:pPr>
        <w:ind w:left="1440" w:hanging="360"/>
      </w:pPr>
      <w:rPr>
        <w:rFonts w:ascii="Courier New" w:hAnsi="Courier New" w:hint="default"/>
      </w:rPr>
    </w:lvl>
    <w:lvl w:ilvl="2" w:tplc="17A8E18E">
      <w:start w:val="1"/>
      <w:numFmt w:val="bullet"/>
      <w:lvlText w:val=""/>
      <w:lvlJc w:val="left"/>
      <w:pPr>
        <w:ind w:left="2160" w:hanging="360"/>
      </w:pPr>
      <w:rPr>
        <w:rFonts w:ascii="Wingdings" w:hAnsi="Wingdings" w:hint="default"/>
      </w:rPr>
    </w:lvl>
    <w:lvl w:ilvl="3" w:tplc="A3FEED14">
      <w:start w:val="1"/>
      <w:numFmt w:val="bullet"/>
      <w:lvlText w:val=""/>
      <w:lvlJc w:val="left"/>
      <w:pPr>
        <w:ind w:left="2880" w:hanging="360"/>
      </w:pPr>
      <w:rPr>
        <w:rFonts w:ascii="Symbol" w:hAnsi="Symbol" w:hint="default"/>
      </w:rPr>
    </w:lvl>
    <w:lvl w:ilvl="4" w:tplc="BA7CC884">
      <w:start w:val="1"/>
      <w:numFmt w:val="bullet"/>
      <w:lvlText w:val="o"/>
      <w:lvlJc w:val="left"/>
      <w:pPr>
        <w:ind w:left="3600" w:hanging="360"/>
      </w:pPr>
      <w:rPr>
        <w:rFonts w:ascii="Courier New" w:hAnsi="Courier New" w:hint="default"/>
      </w:rPr>
    </w:lvl>
    <w:lvl w:ilvl="5" w:tplc="07CA0B22">
      <w:start w:val="1"/>
      <w:numFmt w:val="bullet"/>
      <w:lvlText w:val=""/>
      <w:lvlJc w:val="left"/>
      <w:pPr>
        <w:ind w:left="4320" w:hanging="360"/>
      </w:pPr>
      <w:rPr>
        <w:rFonts w:ascii="Wingdings" w:hAnsi="Wingdings" w:hint="default"/>
      </w:rPr>
    </w:lvl>
    <w:lvl w:ilvl="6" w:tplc="94F02DB4">
      <w:start w:val="1"/>
      <w:numFmt w:val="bullet"/>
      <w:lvlText w:val=""/>
      <w:lvlJc w:val="left"/>
      <w:pPr>
        <w:ind w:left="5040" w:hanging="360"/>
      </w:pPr>
      <w:rPr>
        <w:rFonts w:ascii="Symbol" w:hAnsi="Symbol" w:hint="default"/>
      </w:rPr>
    </w:lvl>
    <w:lvl w:ilvl="7" w:tplc="C3AE9FA0">
      <w:start w:val="1"/>
      <w:numFmt w:val="bullet"/>
      <w:lvlText w:val="o"/>
      <w:lvlJc w:val="left"/>
      <w:pPr>
        <w:ind w:left="5760" w:hanging="360"/>
      </w:pPr>
      <w:rPr>
        <w:rFonts w:ascii="Courier New" w:hAnsi="Courier New" w:hint="default"/>
      </w:rPr>
    </w:lvl>
    <w:lvl w:ilvl="8" w:tplc="2B7CA5CC">
      <w:start w:val="1"/>
      <w:numFmt w:val="bullet"/>
      <w:lvlText w:val=""/>
      <w:lvlJc w:val="left"/>
      <w:pPr>
        <w:ind w:left="6480" w:hanging="360"/>
      </w:pPr>
      <w:rPr>
        <w:rFonts w:ascii="Wingdings" w:hAnsi="Wingdings" w:hint="default"/>
      </w:rPr>
    </w:lvl>
  </w:abstractNum>
  <w:abstractNum w:abstractNumId="3" w15:restartNumberingAfterBreak="0">
    <w:nsid w:val="0821194A"/>
    <w:multiLevelType w:val="multilevel"/>
    <w:tmpl w:val="A140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05B28"/>
    <w:multiLevelType w:val="multilevel"/>
    <w:tmpl w:val="C2F2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920A9"/>
    <w:multiLevelType w:val="hybridMultilevel"/>
    <w:tmpl w:val="8A7633F4"/>
    <w:lvl w:ilvl="0" w:tplc="4C12C566">
      <w:start w:val="24"/>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A5E95"/>
    <w:multiLevelType w:val="multilevel"/>
    <w:tmpl w:val="63E8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A938CB"/>
    <w:multiLevelType w:val="hybridMultilevel"/>
    <w:tmpl w:val="F7E49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A16971"/>
    <w:multiLevelType w:val="hybridMultilevel"/>
    <w:tmpl w:val="CF881BA0"/>
    <w:lvl w:ilvl="0" w:tplc="09789CE6">
      <w:start w:val="1"/>
      <w:numFmt w:val="bullet"/>
      <w:lvlText w:val=""/>
      <w:lvlJc w:val="left"/>
      <w:pPr>
        <w:ind w:left="720" w:hanging="360"/>
      </w:pPr>
      <w:rPr>
        <w:rFonts w:ascii="Symbol" w:hAnsi="Symbol" w:hint="default"/>
      </w:rPr>
    </w:lvl>
    <w:lvl w:ilvl="1" w:tplc="B784D9A8">
      <w:start w:val="1"/>
      <w:numFmt w:val="bullet"/>
      <w:lvlText w:val="o"/>
      <w:lvlJc w:val="left"/>
      <w:pPr>
        <w:ind w:left="1440" w:hanging="360"/>
      </w:pPr>
      <w:rPr>
        <w:rFonts w:ascii="Courier New" w:hAnsi="Courier New" w:hint="default"/>
      </w:rPr>
    </w:lvl>
    <w:lvl w:ilvl="2" w:tplc="9E50E66C">
      <w:start w:val="1"/>
      <w:numFmt w:val="bullet"/>
      <w:lvlText w:val=""/>
      <w:lvlJc w:val="left"/>
      <w:pPr>
        <w:ind w:left="2160" w:hanging="360"/>
      </w:pPr>
      <w:rPr>
        <w:rFonts w:ascii="Wingdings" w:hAnsi="Wingdings" w:hint="default"/>
      </w:rPr>
    </w:lvl>
    <w:lvl w:ilvl="3" w:tplc="598CE1B2">
      <w:start w:val="1"/>
      <w:numFmt w:val="bullet"/>
      <w:lvlText w:val=""/>
      <w:lvlJc w:val="left"/>
      <w:pPr>
        <w:ind w:left="2880" w:hanging="360"/>
      </w:pPr>
      <w:rPr>
        <w:rFonts w:ascii="Symbol" w:hAnsi="Symbol" w:hint="default"/>
      </w:rPr>
    </w:lvl>
    <w:lvl w:ilvl="4" w:tplc="FDEC0B5A">
      <w:start w:val="1"/>
      <w:numFmt w:val="bullet"/>
      <w:lvlText w:val="o"/>
      <w:lvlJc w:val="left"/>
      <w:pPr>
        <w:ind w:left="3600" w:hanging="360"/>
      </w:pPr>
      <w:rPr>
        <w:rFonts w:ascii="Courier New" w:hAnsi="Courier New" w:hint="default"/>
      </w:rPr>
    </w:lvl>
    <w:lvl w:ilvl="5" w:tplc="CBA4CFA6">
      <w:start w:val="1"/>
      <w:numFmt w:val="bullet"/>
      <w:lvlText w:val=""/>
      <w:lvlJc w:val="left"/>
      <w:pPr>
        <w:ind w:left="4320" w:hanging="360"/>
      </w:pPr>
      <w:rPr>
        <w:rFonts w:ascii="Wingdings" w:hAnsi="Wingdings" w:hint="default"/>
      </w:rPr>
    </w:lvl>
    <w:lvl w:ilvl="6" w:tplc="B6A2DB54">
      <w:start w:val="1"/>
      <w:numFmt w:val="bullet"/>
      <w:lvlText w:val=""/>
      <w:lvlJc w:val="left"/>
      <w:pPr>
        <w:ind w:left="5040" w:hanging="360"/>
      </w:pPr>
      <w:rPr>
        <w:rFonts w:ascii="Symbol" w:hAnsi="Symbol" w:hint="default"/>
      </w:rPr>
    </w:lvl>
    <w:lvl w:ilvl="7" w:tplc="E3B6778A">
      <w:start w:val="1"/>
      <w:numFmt w:val="bullet"/>
      <w:lvlText w:val="o"/>
      <w:lvlJc w:val="left"/>
      <w:pPr>
        <w:ind w:left="5760" w:hanging="360"/>
      </w:pPr>
      <w:rPr>
        <w:rFonts w:ascii="Courier New" w:hAnsi="Courier New" w:hint="default"/>
      </w:rPr>
    </w:lvl>
    <w:lvl w:ilvl="8" w:tplc="82D0F6FA">
      <w:start w:val="1"/>
      <w:numFmt w:val="bullet"/>
      <w:lvlText w:val=""/>
      <w:lvlJc w:val="left"/>
      <w:pPr>
        <w:ind w:left="6480" w:hanging="360"/>
      </w:pPr>
      <w:rPr>
        <w:rFonts w:ascii="Wingdings" w:hAnsi="Wingdings" w:hint="default"/>
      </w:rPr>
    </w:lvl>
  </w:abstractNum>
  <w:abstractNum w:abstractNumId="9" w15:restartNumberingAfterBreak="0">
    <w:nsid w:val="10FB2D79"/>
    <w:multiLevelType w:val="multilevel"/>
    <w:tmpl w:val="7C2C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1E52B6"/>
    <w:multiLevelType w:val="multilevel"/>
    <w:tmpl w:val="A2FE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926081"/>
    <w:multiLevelType w:val="multilevel"/>
    <w:tmpl w:val="0E1C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B103DA"/>
    <w:multiLevelType w:val="multilevel"/>
    <w:tmpl w:val="C206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25C0D6"/>
    <w:multiLevelType w:val="hybridMultilevel"/>
    <w:tmpl w:val="4552EB74"/>
    <w:lvl w:ilvl="0" w:tplc="7C9E329C">
      <w:start w:val="1"/>
      <w:numFmt w:val="bullet"/>
      <w:lvlText w:val=""/>
      <w:lvlJc w:val="left"/>
      <w:pPr>
        <w:ind w:left="720" w:hanging="360"/>
      </w:pPr>
      <w:rPr>
        <w:rFonts w:ascii="Symbol" w:hAnsi="Symbol" w:hint="default"/>
      </w:rPr>
    </w:lvl>
    <w:lvl w:ilvl="1" w:tplc="E9F0630C">
      <w:start w:val="1"/>
      <w:numFmt w:val="bullet"/>
      <w:lvlText w:val="o"/>
      <w:lvlJc w:val="left"/>
      <w:pPr>
        <w:ind w:left="1440" w:hanging="360"/>
      </w:pPr>
      <w:rPr>
        <w:rFonts w:ascii="Courier New" w:hAnsi="Courier New" w:hint="default"/>
      </w:rPr>
    </w:lvl>
    <w:lvl w:ilvl="2" w:tplc="5672C734">
      <w:start w:val="1"/>
      <w:numFmt w:val="bullet"/>
      <w:lvlText w:val=""/>
      <w:lvlJc w:val="left"/>
      <w:pPr>
        <w:ind w:left="2160" w:hanging="360"/>
      </w:pPr>
      <w:rPr>
        <w:rFonts w:ascii="Wingdings" w:hAnsi="Wingdings" w:hint="default"/>
      </w:rPr>
    </w:lvl>
    <w:lvl w:ilvl="3" w:tplc="A66C25FC">
      <w:start w:val="1"/>
      <w:numFmt w:val="bullet"/>
      <w:lvlText w:val=""/>
      <w:lvlJc w:val="left"/>
      <w:pPr>
        <w:ind w:left="2880" w:hanging="360"/>
      </w:pPr>
      <w:rPr>
        <w:rFonts w:ascii="Symbol" w:hAnsi="Symbol" w:hint="default"/>
      </w:rPr>
    </w:lvl>
    <w:lvl w:ilvl="4" w:tplc="C1F2D3D4">
      <w:start w:val="1"/>
      <w:numFmt w:val="bullet"/>
      <w:lvlText w:val="o"/>
      <w:lvlJc w:val="left"/>
      <w:pPr>
        <w:ind w:left="3600" w:hanging="360"/>
      </w:pPr>
      <w:rPr>
        <w:rFonts w:ascii="Courier New" w:hAnsi="Courier New" w:hint="default"/>
      </w:rPr>
    </w:lvl>
    <w:lvl w:ilvl="5" w:tplc="FFF27B56">
      <w:start w:val="1"/>
      <w:numFmt w:val="bullet"/>
      <w:lvlText w:val=""/>
      <w:lvlJc w:val="left"/>
      <w:pPr>
        <w:ind w:left="4320" w:hanging="360"/>
      </w:pPr>
      <w:rPr>
        <w:rFonts w:ascii="Wingdings" w:hAnsi="Wingdings" w:hint="default"/>
      </w:rPr>
    </w:lvl>
    <w:lvl w:ilvl="6" w:tplc="2B18C052">
      <w:start w:val="1"/>
      <w:numFmt w:val="bullet"/>
      <w:lvlText w:val=""/>
      <w:lvlJc w:val="left"/>
      <w:pPr>
        <w:ind w:left="5040" w:hanging="360"/>
      </w:pPr>
      <w:rPr>
        <w:rFonts w:ascii="Symbol" w:hAnsi="Symbol" w:hint="default"/>
      </w:rPr>
    </w:lvl>
    <w:lvl w:ilvl="7" w:tplc="C0785818">
      <w:start w:val="1"/>
      <w:numFmt w:val="bullet"/>
      <w:lvlText w:val="o"/>
      <w:lvlJc w:val="left"/>
      <w:pPr>
        <w:ind w:left="5760" w:hanging="360"/>
      </w:pPr>
      <w:rPr>
        <w:rFonts w:ascii="Courier New" w:hAnsi="Courier New" w:hint="default"/>
      </w:rPr>
    </w:lvl>
    <w:lvl w:ilvl="8" w:tplc="1D62B546">
      <w:start w:val="1"/>
      <w:numFmt w:val="bullet"/>
      <w:lvlText w:val=""/>
      <w:lvlJc w:val="left"/>
      <w:pPr>
        <w:ind w:left="6480" w:hanging="360"/>
      </w:pPr>
      <w:rPr>
        <w:rFonts w:ascii="Wingdings" w:hAnsi="Wingdings" w:hint="default"/>
      </w:rPr>
    </w:lvl>
  </w:abstractNum>
  <w:abstractNum w:abstractNumId="14" w15:restartNumberingAfterBreak="0">
    <w:nsid w:val="19F44A5B"/>
    <w:multiLevelType w:val="hybridMultilevel"/>
    <w:tmpl w:val="B716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CF0798"/>
    <w:multiLevelType w:val="multilevel"/>
    <w:tmpl w:val="0A98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614BF0"/>
    <w:multiLevelType w:val="multilevel"/>
    <w:tmpl w:val="DB38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457045"/>
    <w:multiLevelType w:val="multilevel"/>
    <w:tmpl w:val="B59A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DFC8F1"/>
    <w:multiLevelType w:val="hybridMultilevel"/>
    <w:tmpl w:val="8B781464"/>
    <w:lvl w:ilvl="0" w:tplc="C16ABBD6">
      <w:start w:val="1"/>
      <w:numFmt w:val="bullet"/>
      <w:lvlText w:val=""/>
      <w:lvlJc w:val="left"/>
      <w:pPr>
        <w:ind w:left="720" w:hanging="360"/>
      </w:pPr>
      <w:rPr>
        <w:rFonts w:ascii="Symbol" w:hAnsi="Symbol" w:hint="default"/>
        <w:color w:val="auto"/>
      </w:rPr>
    </w:lvl>
    <w:lvl w:ilvl="1" w:tplc="A2C034AE">
      <w:start w:val="1"/>
      <w:numFmt w:val="bullet"/>
      <w:lvlText w:val="o"/>
      <w:lvlJc w:val="left"/>
      <w:pPr>
        <w:ind w:left="1440" w:hanging="360"/>
      </w:pPr>
      <w:rPr>
        <w:rFonts w:ascii="Courier New" w:hAnsi="Courier New" w:hint="default"/>
      </w:rPr>
    </w:lvl>
    <w:lvl w:ilvl="2" w:tplc="639E44C0">
      <w:start w:val="1"/>
      <w:numFmt w:val="bullet"/>
      <w:lvlText w:val=""/>
      <w:lvlJc w:val="left"/>
      <w:pPr>
        <w:ind w:left="2160" w:hanging="360"/>
      </w:pPr>
      <w:rPr>
        <w:rFonts w:ascii="Wingdings" w:hAnsi="Wingdings" w:hint="default"/>
      </w:rPr>
    </w:lvl>
    <w:lvl w:ilvl="3" w:tplc="02A6D73A">
      <w:start w:val="1"/>
      <w:numFmt w:val="bullet"/>
      <w:lvlText w:val=""/>
      <w:lvlJc w:val="left"/>
      <w:pPr>
        <w:ind w:left="2880" w:hanging="360"/>
      </w:pPr>
      <w:rPr>
        <w:rFonts w:ascii="Symbol" w:hAnsi="Symbol" w:hint="default"/>
      </w:rPr>
    </w:lvl>
    <w:lvl w:ilvl="4" w:tplc="6A9439E4">
      <w:start w:val="1"/>
      <w:numFmt w:val="bullet"/>
      <w:lvlText w:val="o"/>
      <w:lvlJc w:val="left"/>
      <w:pPr>
        <w:ind w:left="3600" w:hanging="360"/>
      </w:pPr>
      <w:rPr>
        <w:rFonts w:ascii="Courier New" w:hAnsi="Courier New" w:hint="default"/>
      </w:rPr>
    </w:lvl>
    <w:lvl w:ilvl="5" w:tplc="2E389C24">
      <w:start w:val="1"/>
      <w:numFmt w:val="bullet"/>
      <w:lvlText w:val=""/>
      <w:lvlJc w:val="left"/>
      <w:pPr>
        <w:ind w:left="4320" w:hanging="360"/>
      </w:pPr>
      <w:rPr>
        <w:rFonts w:ascii="Wingdings" w:hAnsi="Wingdings" w:hint="default"/>
      </w:rPr>
    </w:lvl>
    <w:lvl w:ilvl="6" w:tplc="B3C622AC">
      <w:start w:val="1"/>
      <w:numFmt w:val="bullet"/>
      <w:lvlText w:val=""/>
      <w:lvlJc w:val="left"/>
      <w:pPr>
        <w:ind w:left="5040" w:hanging="360"/>
      </w:pPr>
      <w:rPr>
        <w:rFonts w:ascii="Symbol" w:hAnsi="Symbol" w:hint="default"/>
      </w:rPr>
    </w:lvl>
    <w:lvl w:ilvl="7" w:tplc="71EAA8D8">
      <w:start w:val="1"/>
      <w:numFmt w:val="bullet"/>
      <w:lvlText w:val="o"/>
      <w:lvlJc w:val="left"/>
      <w:pPr>
        <w:ind w:left="5760" w:hanging="360"/>
      </w:pPr>
      <w:rPr>
        <w:rFonts w:ascii="Courier New" w:hAnsi="Courier New" w:hint="default"/>
      </w:rPr>
    </w:lvl>
    <w:lvl w:ilvl="8" w:tplc="004E0ACE">
      <w:start w:val="1"/>
      <w:numFmt w:val="bullet"/>
      <w:lvlText w:val=""/>
      <w:lvlJc w:val="left"/>
      <w:pPr>
        <w:ind w:left="6480" w:hanging="360"/>
      </w:pPr>
      <w:rPr>
        <w:rFonts w:ascii="Wingdings" w:hAnsi="Wingdings" w:hint="default"/>
      </w:rPr>
    </w:lvl>
  </w:abstractNum>
  <w:abstractNum w:abstractNumId="19" w15:restartNumberingAfterBreak="0">
    <w:nsid w:val="2D8D31FC"/>
    <w:multiLevelType w:val="multilevel"/>
    <w:tmpl w:val="7878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EB5CF0"/>
    <w:multiLevelType w:val="multilevel"/>
    <w:tmpl w:val="4824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F422B"/>
    <w:multiLevelType w:val="multilevel"/>
    <w:tmpl w:val="5E0A40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57F0B9E"/>
    <w:multiLevelType w:val="hybridMultilevel"/>
    <w:tmpl w:val="B136E4C4"/>
    <w:lvl w:ilvl="0" w:tplc="FA16C6F4">
      <w:start w:val="1"/>
      <w:numFmt w:val="bullet"/>
      <w:lvlText w:val=""/>
      <w:lvlJc w:val="left"/>
      <w:pPr>
        <w:ind w:left="720" w:hanging="360"/>
      </w:pPr>
      <w:rPr>
        <w:rFonts w:ascii="Symbol" w:hAnsi="Symbol" w:hint="default"/>
      </w:rPr>
    </w:lvl>
    <w:lvl w:ilvl="1" w:tplc="0BBEED3E">
      <w:start w:val="1"/>
      <w:numFmt w:val="bullet"/>
      <w:lvlText w:val="o"/>
      <w:lvlJc w:val="left"/>
      <w:pPr>
        <w:ind w:left="1440" w:hanging="360"/>
      </w:pPr>
      <w:rPr>
        <w:rFonts w:ascii="Courier New" w:hAnsi="Courier New" w:hint="default"/>
      </w:rPr>
    </w:lvl>
    <w:lvl w:ilvl="2" w:tplc="20940E4A">
      <w:start w:val="1"/>
      <w:numFmt w:val="bullet"/>
      <w:lvlText w:val=""/>
      <w:lvlJc w:val="left"/>
      <w:pPr>
        <w:ind w:left="2160" w:hanging="360"/>
      </w:pPr>
      <w:rPr>
        <w:rFonts w:ascii="Wingdings" w:hAnsi="Wingdings" w:hint="default"/>
      </w:rPr>
    </w:lvl>
    <w:lvl w:ilvl="3" w:tplc="8C12FB2A">
      <w:start w:val="1"/>
      <w:numFmt w:val="bullet"/>
      <w:lvlText w:val=""/>
      <w:lvlJc w:val="left"/>
      <w:pPr>
        <w:ind w:left="2880" w:hanging="360"/>
      </w:pPr>
      <w:rPr>
        <w:rFonts w:ascii="Symbol" w:hAnsi="Symbol" w:hint="default"/>
      </w:rPr>
    </w:lvl>
    <w:lvl w:ilvl="4" w:tplc="23944508">
      <w:start w:val="1"/>
      <w:numFmt w:val="bullet"/>
      <w:lvlText w:val="o"/>
      <w:lvlJc w:val="left"/>
      <w:pPr>
        <w:ind w:left="3600" w:hanging="360"/>
      </w:pPr>
      <w:rPr>
        <w:rFonts w:ascii="Courier New" w:hAnsi="Courier New" w:hint="default"/>
      </w:rPr>
    </w:lvl>
    <w:lvl w:ilvl="5" w:tplc="A4FE498C">
      <w:start w:val="1"/>
      <w:numFmt w:val="bullet"/>
      <w:lvlText w:val=""/>
      <w:lvlJc w:val="left"/>
      <w:pPr>
        <w:ind w:left="4320" w:hanging="360"/>
      </w:pPr>
      <w:rPr>
        <w:rFonts w:ascii="Wingdings" w:hAnsi="Wingdings" w:hint="default"/>
      </w:rPr>
    </w:lvl>
    <w:lvl w:ilvl="6" w:tplc="CDCC8744">
      <w:start w:val="1"/>
      <w:numFmt w:val="bullet"/>
      <w:lvlText w:val=""/>
      <w:lvlJc w:val="left"/>
      <w:pPr>
        <w:ind w:left="5040" w:hanging="360"/>
      </w:pPr>
      <w:rPr>
        <w:rFonts w:ascii="Symbol" w:hAnsi="Symbol" w:hint="default"/>
      </w:rPr>
    </w:lvl>
    <w:lvl w:ilvl="7" w:tplc="DD3618E0">
      <w:start w:val="1"/>
      <w:numFmt w:val="bullet"/>
      <w:lvlText w:val="o"/>
      <w:lvlJc w:val="left"/>
      <w:pPr>
        <w:ind w:left="5760" w:hanging="360"/>
      </w:pPr>
      <w:rPr>
        <w:rFonts w:ascii="Courier New" w:hAnsi="Courier New" w:hint="default"/>
      </w:rPr>
    </w:lvl>
    <w:lvl w:ilvl="8" w:tplc="BEDC9BFE">
      <w:start w:val="1"/>
      <w:numFmt w:val="bullet"/>
      <w:lvlText w:val=""/>
      <w:lvlJc w:val="left"/>
      <w:pPr>
        <w:ind w:left="6480" w:hanging="360"/>
      </w:pPr>
      <w:rPr>
        <w:rFonts w:ascii="Wingdings" w:hAnsi="Wingdings" w:hint="default"/>
      </w:rPr>
    </w:lvl>
  </w:abstractNum>
  <w:abstractNum w:abstractNumId="23" w15:restartNumberingAfterBreak="0">
    <w:nsid w:val="380B32C2"/>
    <w:multiLevelType w:val="multilevel"/>
    <w:tmpl w:val="0E5C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2B70B1"/>
    <w:multiLevelType w:val="multilevel"/>
    <w:tmpl w:val="2B6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209762"/>
    <w:multiLevelType w:val="hybridMultilevel"/>
    <w:tmpl w:val="DAE07AB4"/>
    <w:lvl w:ilvl="0" w:tplc="D99CDA6A">
      <w:start w:val="1"/>
      <w:numFmt w:val="bullet"/>
      <w:lvlText w:val=""/>
      <w:lvlJc w:val="left"/>
      <w:pPr>
        <w:ind w:left="720" w:hanging="360"/>
      </w:pPr>
      <w:rPr>
        <w:rFonts w:ascii="Symbol" w:hAnsi="Symbol" w:hint="default"/>
      </w:rPr>
    </w:lvl>
    <w:lvl w:ilvl="1" w:tplc="C7185E48">
      <w:start w:val="1"/>
      <w:numFmt w:val="bullet"/>
      <w:lvlText w:val="o"/>
      <w:lvlJc w:val="left"/>
      <w:pPr>
        <w:ind w:left="1440" w:hanging="360"/>
      </w:pPr>
      <w:rPr>
        <w:rFonts w:ascii="Courier New" w:hAnsi="Courier New" w:hint="default"/>
      </w:rPr>
    </w:lvl>
    <w:lvl w:ilvl="2" w:tplc="51800A9C">
      <w:start w:val="1"/>
      <w:numFmt w:val="bullet"/>
      <w:lvlText w:val=""/>
      <w:lvlJc w:val="left"/>
      <w:pPr>
        <w:ind w:left="2160" w:hanging="360"/>
      </w:pPr>
      <w:rPr>
        <w:rFonts w:ascii="Wingdings" w:hAnsi="Wingdings" w:hint="default"/>
      </w:rPr>
    </w:lvl>
    <w:lvl w:ilvl="3" w:tplc="649ADA92">
      <w:start w:val="1"/>
      <w:numFmt w:val="bullet"/>
      <w:lvlText w:val=""/>
      <w:lvlJc w:val="left"/>
      <w:pPr>
        <w:ind w:left="2880" w:hanging="360"/>
      </w:pPr>
      <w:rPr>
        <w:rFonts w:ascii="Symbol" w:hAnsi="Symbol" w:hint="default"/>
      </w:rPr>
    </w:lvl>
    <w:lvl w:ilvl="4" w:tplc="D2A6E568">
      <w:start w:val="1"/>
      <w:numFmt w:val="bullet"/>
      <w:lvlText w:val="o"/>
      <w:lvlJc w:val="left"/>
      <w:pPr>
        <w:ind w:left="3600" w:hanging="360"/>
      </w:pPr>
      <w:rPr>
        <w:rFonts w:ascii="Courier New" w:hAnsi="Courier New" w:hint="default"/>
      </w:rPr>
    </w:lvl>
    <w:lvl w:ilvl="5" w:tplc="702EFE94">
      <w:start w:val="1"/>
      <w:numFmt w:val="bullet"/>
      <w:lvlText w:val=""/>
      <w:lvlJc w:val="left"/>
      <w:pPr>
        <w:ind w:left="4320" w:hanging="360"/>
      </w:pPr>
      <w:rPr>
        <w:rFonts w:ascii="Wingdings" w:hAnsi="Wingdings" w:hint="default"/>
      </w:rPr>
    </w:lvl>
    <w:lvl w:ilvl="6" w:tplc="36A48E1E">
      <w:start w:val="1"/>
      <w:numFmt w:val="bullet"/>
      <w:lvlText w:val=""/>
      <w:lvlJc w:val="left"/>
      <w:pPr>
        <w:ind w:left="5040" w:hanging="360"/>
      </w:pPr>
      <w:rPr>
        <w:rFonts w:ascii="Symbol" w:hAnsi="Symbol" w:hint="default"/>
      </w:rPr>
    </w:lvl>
    <w:lvl w:ilvl="7" w:tplc="A44EB0AA">
      <w:start w:val="1"/>
      <w:numFmt w:val="bullet"/>
      <w:lvlText w:val="o"/>
      <w:lvlJc w:val="left"/>
      <w:pPr>
        <w:ind w:left="5760" w:hanging="360"/>
      </w:pPr>
      <w:rPr>
        <w:rFonts w:ascii="Courier New" w:hAnsi="Courier New" w:hint="default"/>
      </w:rPr>
    </w:lvl>
    <w:lvl w:ilvl="8" w:tplc="F9443940">
      <w:start w:val="1"/>
      <w:numFmt w:val="bullet"/>
      <w:lvlText w:val=""/>
      <w:lvlJc w:val="left"/>
      <w:pPr>
        <w:ind w:left="6480" w:hanging="360"/>
      </w:pPr>
      <w:rPr>
        <w:rFonts w:ascii="Wingdings" w:hAnsi="Wingdings" w:hint="default"/>
      </w:rPr>
    </w:lvl>
  </w:abstractNum>
  <w:abstractNum w:abstractNumId="26" w15:restartNumberingAfterBreak="0">
    <w:nsid w:val="54033FCB"/>
    <w:multiLevelType w:val="multilevel"/>
    <w:tmpl w:val="0E9E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FB0547"/>
    <w:multiLevelType w:val="multilevel"/>
    <w:tmpl w:val="2F00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EC9CB9"/>
    <w:multiLevelType w:val="hybridMultilevel"/>
    <w:tmpl w:val="0254D0C4"/>
    <w:lvl w:ilvl="0" w:tplc="94A2926A">
      <w:start w:val="1"/>
      <w:numFmt w:val="decimal"/>
      <w:lvlText w:val="%1."/>
      <w:lvlJc w:val="left"/>
      <w:pPr>
        <w:ind w:left="720" w:hanging="360"/>
      </w:pPr>
    </w:lvl>
    <w:lvl w:ilvl="1" w:tplc="6706DD3E">
      <w:start w:val="1"/>
      <w:numFmt w:val="lowerLetter"/>
      <w:lvlText w:val="%2."/>
      <w:lvlJc w:val="left"/>
      <w:pPr>
        <w:ind w:left="1440" w:hanging="360"/>
      </w:pPr>
    </w:lvl>
    <w:lvl w:ilvl="2" w:tplc="50E03310">
      <w:start w:val="1"/>
      <w:numFmt w:val="lowerRoman"/>
      <w:lvlText w:val="%3."/>
      <w:lvlJc w:val="right"/>
      <w:pPr>
        <w:ind w:left="2160" w:hanging="180"/>
      </w:pPr>
    </w:lvl>
    <w:lvl w:ilvl="3" w:tplc="49047434">
      <w:start w:val="1"/>
      <w:numFmt w:val="decimal"/>
      <w:lvlText w:val="%4."/>
      <w:lvlJc w:val="left"/>
      <w:pPr>
        <w:ind w:left="2880" w:hanging="360"/>
      </w:pPr>
    </w:lvl>
    <w:lvl w:ilvl="4" w:tplc="8C4CEB3A">
      <w:start w:val="1"/>
      <w:numFmt w:val="lowerLetter"/>
      <w:lvlText w:val="%5."/>
      <w:lvlJc w:val="left"/>
      <w:pPr>
        <w:ind w:left="3600" w:hanging="360"/>
      </w:pPr>
    </w:lvl>
    <w:lvl w:ilvl="5" w:tplc="938287AE">
      <w:start w:val="1"/>
      <w:numFmt w:val="lowerRoman"/>
      <w:lvlText w:val="%6."/>
      <w:lvlJc w:val="right"/>
      <w:pPr>
        <w:ind w:left="4320" w:hanging="180"/>
      </w:pPr>
    </w:lvl>
    <w:lvl w:ilvl="6" w:tplc="A9247A68">
      <w:start w:val="1"/>
      <w:numFmt w:val="decimal"/>
      <w:lvlText w:val="%7."/>
      <w:lvlJc w:val="left"/>
      <w:pPr>
        <w:ind w:left="5040" w:hanging="360"/>
      </w:pPr>
    </w:lvl>
    <w:lvl w:ilvl="7" w:tplc="74A8BDE8">
      <w:start w:val="1"/>
      <w:numFmt w:val="lowerLetter"/>
      <w:lvlText w:val="%8."/>
      <w:lvlJc w:val="left"/>
      <w:pPr>
        <w:ind w:left="5760" w:hanging="360"/>
      </w:pPr>
    </w:lvl>
    <w:lvl w:ilvl="8" w:tplc="2018B05A">
      <w:start w:val="1"/>
      <w:numFmt w:val="lowerRoman"/>
      <w:lvlText w:val="%9."/>
      <w:lvlJc w:val="right"/>
      <w:pPr>
        <w:ind w:left="6480" w:hanging="180"/>
      </w:pPr>
    </w:lvl>
  </w:abstractNum>
  <w:abstractNum w:abstractNumId="29" w15:restartNumberingAfterBreak="0">
    <w:nsid w:val="63243699"/>
    <w:multiLevelType w:val="hybridMultilevel"/>
    <w:tmpl w:val="DF905670"/>
    <w:lvl w:ilvl="0" w:tplc="8F72B342">
      <w:start w:val="1"/>
      <w:numFmt w:val="bullet"/>
      <w:lvlText w:val=""/>
      <w:lvlJc w:val="left"/>
      <w:pPr>
        <w:ind w:left="720" w:hanging="360"/>
      </w:pPr>
      <w:rPr>
        <w:rFonts w:ascii="Symbol" w:hAnsi="Symbol" w:hint="default"/>
      </w:rPr>
    </w:lvl>
    <w:lvl w:ilvl="1" w:tplc="90CAFF66">
      <w:start w:val="1"/>
      <w:numFmt w:val="bullet"/>
      <w:lvlText w:val="o"/>
      <w:lvlJc w:val="left"/>
      <w:pPr>
        <w:ind w:left="1440" w:hanging="360"/>
      </w:pPr>
      <w:rPr>
        <w:rFonts w:ascii="Courier New" w:hAnsi="Courier New" w:hint="default"/>
      </w:rPr>
    </w:lvl>
    <w:lvl w:ilvl="2" w:tplc="A3A4672E">
      <w:start w:val="1"/>
      <w:numFmt w:val="bullet"/>
      <w:lvlText w:val=""/>
      <w:lvlJc w:val="left"/>
      <w:pPr>
        <w:ind w:left="2160" w:hanging="360"/>
      </w:pPr>
      <w:rPr>
        <w:rFonts w:ascii="Wingdings" w:hAnsi="Wingdings" w:hint="default"/>
      </w:rPr>
    </w:lvl>
    <w:lvl w:ilvl="3" w:tplc="B8841C26">
      <w:start w:val="1"/>
      <w:numFmt w:val="bullet"/>
      <w:lvlText w:val=""/>
      <w:lvlJc w:val="left"/>
      <w:pPr>
        <w:ind w:left="2880" w:hanging="360"/>
      </w:pPr>
      <w:rPr>
        <w:rFonts w:ascii="Symbol" w:hAnsi="Symbol" w:hint="default"/>
      </w:rPr>
    </w:lvl>
    <w:lvl w:ilvl="4" w:tplc="368AA50A">
      <w:start w:val="1"/>
      <w:numFmt w:val="bullet"/>
      <w:lvlText w:val="o"/>
      <w:lvlJc w:val="left"/>
      <w:pPr>
        <w:ind w:left="3600" w:hanging="360"/>
      </w:pPr>
      <w:rPr>
        <w:rFonts w:ascii="Courier New" w:hAnsi="Courier New" w:hint="default"/>
      </w:rPr>
    </w:lvl>
    <w:lvl w:ilvl="5" w:tplc="0FA6D1CA">
      <w:start w:val="1"/>
      <w:numFmt w:val="bullet"/>
      <w:lvlText w:val=""/>
      <w:lvlJc w:val="left"/>
      <w:pPr>
        <w:ind w:left="4320" w:hanging="360"/>
      </w:pPr>
      <w:rPr>
        <w:rFonts w:ascii="Wingdings" w:hAnsi="Wingdings" w:hint="default"/>
      </w:rPr>
    </w:lvl>
    <w:lvl w:ilvl="6" w:tplc="C5F49DD2">
      <w:start w:val="1"/>
      <w:numFmt w:val="bullet"/>
      <w:lvlText w:val=""/>
      <w:lvlJc w:val="left"/>
      <w:pPr>
        <w:ind w:left="5040" w:hanging="360"/>
      </w:pPr>
      <w:rPr>
        <w:rFonts w:ascii="Symbol" w:hAnsi="Symbol" w:hint="default"/>
      </w:rPr>
    </w:lvl>
    <w:lvl w:ilvl="7" w:tplc="3264B604">
      <w:start w:val="1"/>
      <w:numFmt w:val="bullet"/>
      <w:lvlText w:val="o"/>
      <w:lvlJc w:val="left"/>
      <w:pPr>
        <w:ind w:left="5760" w:hanging="360"/>
      </w:pPr>
      <w:rPr>
        <w:rFonts w:ascii="Courier New" w:hAnsi="Courier New" w:hint="default"/>
      </w:rPr>
    </w:lvl>
    <w:lvl w:ilvl="8" w:tplc="6C4E70EE">
      <w:start w:val="1"/>
      <w:numFmt w:val="bullet"/>
      <w:lvlText w:val=""/>
      <w:lvlJc w:val="left"/>
      <w:pPr>
        <w:ind w:left="6480" w:hanging="360"/>
      </w:pPr>
      <w:rPr>
        <w:rFonts w:ascii="Wingdings" w:hAnsi="Wingdings" w:hint="default"/>
      </w:rPr>
    </w:lvl>
  </w:abstractNum>
  <w:abstractNum w:abstractNumId="30" w15:restartNumberingAfterBreak="0">
    <w:nsid w:val="63B31414"/>
    <w:multiLevelType w:val="hybridMultilevel"/>
    <w:tmpl w:val="E314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F60E2F"/>
    <w:multiLevelType w:val="multilevel"/>
    <w:tmpl w:val="9E9434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844490F"/>
    <w:multiLevelType w:val="multilevel"/>
    <w:tmpl w:val="FAD2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88E8E9"/>
    <w:multiLevelType w:val="hybridMultilevel"/>
    <w:tmpl w:val="3C06434E"/>
    <w:lvl w:ilvl="0" w:tplc="7792A730">
      <w:start w:val="1"/>
      <w:numFmt w:val="bullet"/>
      <w:lvlText w:val=""/>
      <w:lvlJc w:val="left"/>
      <w:pPr>
        <w:ind w:left="720" w:hanging="360"/>
      </w:pPr>
      <w:rPr>
        <w:rFonts w:ascii="Symbol" w:hAnsi="Symbol" w:hint="default"/>
      </w:rPr>
    </w:lvl>
    <w:lvl w:ilvl="1" w:tplc="64823BB6">
      <w:start w:val="1"/>
      <w:numFmt w:val="bullet"/>
      <w:lvlText w:val="o"/>
      <w:lvlJc w:val="left"/>
      <w:pPr>
        <w:ind w:left="1440" w:hanging="360"/>
      </w:pPr>
      <w:rPr>
        <w:rFonts w:ascii="Courier New" w:hAnsi="Courier New" w:hint="default"/>
      </w:rPr>
    </w:lvl>
    <w:lvl w:ilvl="2" w:tplc="1150AB26">
      <w:start w:val="1"/>
      <w:numFmt w:val="bullet"/>
      <w:lvlText w:val=""/>
      <w:lvlJc w:val="left"/>
      <w:pPr>
        <w:ind w:left="2160" w:hanging="360"/>
      </w:pPr>
      <w:rPr>
        <w:rFonts w:ascii="Wingdings" w:hAnsi="Wingdings" w:hint="default"/>
      </w:rPr>
    </w:lvl>
    <w:lvl w:ilvl="3" w:tplc="518A7434">
      <w:start w:val="1"/>
      <w:numFmt w:val="bullet"/>
      <w:lvlText w:val=""/>
      <w:lvlJc w:val="left"/>
      <w:pPr>
        <w:ind w:left="2880" w:hanging="360"/>
      </w:pPr>
      <w:rPr>
        <w:rFonts w:ascii="Symbol" w:hAnsi="Symbol" w:hint="default"/>
      </w:rPr>
    </w:lvl>
    <w:lvl w:ilvl="4" w:tplc="7CAA2BE8">
      <w:start w:val="1"/>
      <w:numFmt w:val="bullet"/>
      <w:lvlText w:val="o"/>
      <w:lvlJc w:val="left"/>
      <w:pPr>
        <w:ind w:left="3600" w:hanging="360"/>
      </w:pPr>
      <w:rPr>
        <w:rFonts w:ascii="Courier New" w:hAnsi="Courier New" w:hint="default"/>
      </w:rPr>
    </w:lvl>
    <w:lvl w:ilvl="5" w:tplc="BDA6419A">
      <w:start w:val="1"/>
      <w:numFmt w:val="bullet"/>
      <w:lvlText w:val=""/>
      <w:lvlJc w:val="left"/>
      <w:pPr>
        <w:ind w:left="4320" w:hanging="360"/>
      </w:pPr>
      <w:rPr>
        <w:rFonts w:ascii="Wingdings" w:hAnsi="Wingdings" w:hint="default"/>
      </w:rPr>
    </w:lvl>
    <w:lvl w:ilvl="6" w:tplc="29502E0C">
      <w:start w:val="1"/>
      <w:numFmt w:val="bullet"/>
      <w:lvlText w:val=""/>
      <w:lvlJc w:val="left"/>
      <w:pPr>
        <w:ind w:left="5040" w:hanging="360"/>
      </w:pPr>
      <w:rPr>
        <w:rFonts w:ascii="Symbol" w:hAnsi="Symbol" w:hint="default"/>
      </w:rPr>
    </w:lvl>
    <w:lvl w:ilvl="7" w:tplc="C9F8CB4E">
      <w:start w:val="1"/>
      <w:numFmt w:val="bullet"/>
      <w:lvlText w:val="o"/>
      <w:lvlJc w:val="left"/>
      <w:pPr>
        <w:ind w:left="5760" w:hanging="360"/>
      </w:pPr>
      <w:rPr>
        <w:rFonts w:ascii="Courier New" w:hAnsi="Courier New" w:hint="default"/>
      </w:rPr>
    </w:lvl>
    <w:lvl w:ilvl="8" w:tplc="FA9CCD80">
      <w:start w:val="1"/>
      <w:numFmt w:val="bullet"/>
      <w:lvlText w:val=""/>
      <w:lvlJc w:val="left"/>
      <w:pPr>
        <w:ind w:left="6480" w:hanging="360"/>
      </w:pPr>
      <w:rPr>
        <w:rFonts w:ascii="Wingdings" w:hAnsi="Wingdings" w:hint="default"/>
      </w:rPr>
    </w:lvl>
  </w:abstractNum>
  <w:abstractNum w:abstractNumId="34" w15:restartNumberingAfterBreak="0">
    <w:nsid w:val="68E6C708"/>
    <w:multiLevelType w:val="hybridMultilevel"/>
    <w:tmpl w:val="C6148516"/>
    <w:lvl w:ilvl="0" w:tplc="07CA0A8E">
      <w:start w:val="1"/>
      <w:numFmt w:val="bullet"/>
      <w:lvlText w:val=""/>
      <w:lvlJc w:val="left"/>
      <w:pPr>
        <w:ind w:left="720" w:hanging="360"/>
      </w:pPr>
      <w:rPr>
        <w:rFonts w:ascii="Symbol" w:hAnsi="Symbol" w:hint="default"/>
      </w:rPr>
    </w:lvl>
    <w:lvl w:ilvl="1" w:tplc="2DB82FA6">
      <w:start w:val="1"/>
      <w:numFmt w:val="bullet"/>
      <w:lvlText w:val="o"/>
      <w:lvlJc w:val="left"/>
      <w:pPr>
        <w:ind w:left="1440" w:hanging="360"/>
      </w:pPr>
      <w:rPr>
        <w:rFonts w:ascii="Courier New" w:hAnsi="Courier New" w:hint="default"/>
      </w:rPr>
    </w:lvl>
    <w:lvl w:ilvl="2" w:tplc="5C92CB54">
      <w:start w:val="1"/>
      <w:numFmt w:val="bullet"/>
      <w:lvlText w:val=""/>
      <w:lvlJc w:val="left"/>
      <w:pPr>
        <w:ind w:left="2160" w:hanging="360"/>
      </w:pPr>
      <w:rPr>
        <w:rFonts w:ascii="Wingdings" w:hAnsi="Wingdings" w:hint="default"/>
      </w:rPr>
    </w:lvl>
    <w:lvl w:ilvl="3" w:tplc="FA82F9F6">
      <w:start w:val="1"/>
      <w:numFmt w:val="bullet"/>
      <w:lvlText w:val=""/>
      <w:lvlJc w:val="left"/>
      <w:pPr>
        <w:ind w:left="2880" w:hanging="360"/>
      </w:pPr>
      <w:rPr>
        <w:rFonts w:ascii="Symbol" w:hAnsi="Symbol" w:hint="default"/>
      </w:rPr>
    </w:lvl>
    <w:lvl w:ilvl="4" w:tplc="1B805576">
      <w:start w:val="1"/>
      <w:numFmt w:val="bullet"/>
      <w:lvlText w:val="o"/>
      <w:lvlJc w:val="left"/>
      <w:pPr>
        <w:ind w:left="3600" w:hanging="360"/>
      </w:pPr>
      <w:rPr>
        <w:rFonts w:ascii="Courier New" w:hAnsi="Courier New" w:hint="default"/>
      </w:rPr>
    </w:lvl>
    <w:lvl w:ilvl="5" w:tplc="1BDC0DAC">
      <w:start w:val="1"/>
      <w:numFmt w:val="bullet"/>
      <w:lvlText w:val=""/>
      <w:lvlJc w:val="left"/>
      <w:pPr>
        <w:ind w:left="4320" w:hanging="360"/>
      </w:pPr>
      <w:rPr>
        <w:rFonts w:ascii="Wingdings" w:hAnsi="Wingdings" w:hint="default"/>
      </w:rPr>
    </w:lvl>
    <w:lvl w:ilvl="6" w:tplc="CA5C9EDA">
      <w:start w:val="1"/>
      <w:numFmt w:val="bullet"/>
      <w:lvlText w:val=""/>
      <w:lvlJc w:val="left"/>
      <w:pPr>
        <w:ind w:left="5040" w:hanging="360"/>
      </w:pPr>
      <w:rPr>
        <w:rFonts w:ascii="Symbol" w:hAnsi="Symbol" w:hint="default"/>
      </w:rPr>
    </w:lvl>
    <w:lvl w:ilvl="7" w:tplc="A254F376">
      <w:start w:val="1"/>
      <w:numFmt w:val="bullet"/>
      <w:lvlText w:val="o"/>
      <w:lvlJc w:val="left"/>
      <w:pPr>
        <w:ind w:left="5760" w:hanging="360"/>
      </w:pPr>
      <w:rPr>
        <w:rFonts w:ascii="Courier New" w:hAnsi="Courier New" w:hint="default"/>
      </w:rPr>
    </w:lvl>
    <w:lvl w:ilvl="8" w:tplc="AF48E16C">
      <w:start w:val="1"/>
      <w:numFmt w:val="bullet"/>
      <w:lvlText w:val=""/>
      <w:lvlJc w:val="left"/>
      <w:pPr>
        <w:ind w:left="6480" w:hanging="360"/>
      </w:pPr>
      <w:rPr>
        <w:rFonts w:ascii="Wingdings" w:hAnsi="Wingdings" w:hint="default"/>
      </w:rPr>
    </w:lvl>
  </w:abstractNum>
  <w:abstractNum w:abstractNumId="35" w15:restartNumberingAfterBreak="0">
    <w:nsid w:val="6D354A97"/>
    <w:multiLevelType w:val="multilevel"/>
    <w:tmpl w:val="A984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E05C7B"/>
    <w:multiLevelType w:val="multilevel"/>
    <w:tmpl w:val="4D00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D22797"/>
    <w:multiLevelType w:val="multilevel"/>
    <w:tmpl w:val="173A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EDBB40"/>
    <w:multiLevelType w:val="hybridMultilevel"/>
    <w:tmpl w:val="B6EC2E78"/>
    <w:lvl w:ilvl="0" w:tplc="3F6A322C">
      <w:start w:val="1"/>
      <w:numFmt w:val="decimal"/>
      <w:lvlText w:val="%1."/>
      <w:lvlJc w:val="left"/>
      <w:pPr>
        <w:ind w:left="720" w:hanging="360"/>
      </w:pPr>
    </w:lvl>
    <w:lvl w:ilvl="1" w:tplc="3DE6EEE6">
      <w:start w:val="1"/>
      <w:numFmt w:val="lowerLetter"/>
      <w:lvlText w:val="%2."/>
      <w:lvlJc w:val="left"/>
      <w:pPr>
        <w:ind w:left="1440" w:hanging="360"/>
      </w:pPr>
    </w:lvl>
    <w:lvl w:ilvl="2" w:tplc="892CDB40">
      <w:start w:val="1"/>
      <w:numFmt w:val="lowerRoman"/>
      <w:lvlText w:val="%3."/>
      <w:lvlJc w:val="right"/>
      <w:pPr>
        <w:ind w:left="2160" w:hanging="180"/>
      </w:pPr>
    </w:lvl>
    <w:lvl w:ilvl="3" w:tplc="A1E679A4">
      <w:start w:val="1"/>
      <w:numFmt w:val="decimal"/>
      <w:lvlText w:val="%4."/>
      <w:lvlJc w:val="left"/>
      <w:pPr>
        <w:ind w:left="2880" w:hanging="360"/>
      </w:pPr>
    </w:lvl>
    <w:lvl w:ilvl="4" w:tplc="F0A453EA">
      <w:start w:val="1"/>
      <w:numFmt w:val="lowerLetter"/>
      <w:lvlText w:val="%5."/>
      <w:lvlJc w:val="left"/>
      <w:pPr>
        <w:ind w:left="3600" w:hanging="360"/>
      </w:pPr>
    </w:lvl>
    <w:lvl w:ilvl="5" w:tplc="B85C202A">
      <w:start w:val="1"/>
      <w:numFmt w:val="lowerRoman"/>
      <w:lvlText w:val="%6."/>
      <w:lvlJc w:val="right"/>
      <w:pPr>
        <w:ind w:left="4320" w:hanging="180"/>
      </w:pPr>
    </w:lvl>
    <w:lvl w:ilvl="6" w:tplc="640A6484">
      <w:start w:val="1"/>
      <w:numFmt w:val="decimal"/>
      <w:lvlText w:val="%7."/>
      <w:lvlJc w:val="left"/>
      <w:pPr>
        <w:ind w:left="5040" w:hanging="360"/>
      </w:pPr>
    </w:lvl>
    <w:lvl w:ilvl="7" w:tplc="87CC4376">
      <w:start w:val="1"/>
      <w:numFmt w:val="lowerLetter"/>
      <w:lvlText w:val="%8."/>
      <w:lvlJc w:val="left"/>
      <w:pPr>
        <w:ind w:left="5760" w:hanging="360"/>
      </w:pPr>
    </w:lvl>
    <w:lvl w:ilvl="8" w:tplc="993E7880">
      <w:start w:val="1"/>
      <w:numFmt w:val="lowerRoman"/>
      <w:lvlText w:val="%9."/>
      <w:lvlJc w:val="right"/>
      <w:pPr>
        <w:ind w:left="6480" w:hanging="180"/>
      </w:pPr>
    </w:lvl>
  </w:abstractNum>
  <w:abstractNum w:abstractNumId="39" w15:restartNumberingAfterBreak="0">
    <w:nsid w:val="7CABF54A"/>
    <w:multiLevelType w:val="hybridMultilevel"/>
    <w:tmpl w:val="36C6CD02"/>
    <w:lvl w:ilvl="0" w:tplc="68EED2E2">
      <w:start w:val="1"/>
      <w:numFmt w:val="bullet"/>
      <w:lvlText w:val=""/>
      <w:lvlJc w:val="left"/>
      <w:pPr>
        <w:ind w:left="720" w:hanging="360"/>
      </w:pPr>
      <w:rPr>
        <w:rFonts w:ascii="Symbol" w:hAnsi="Symbol" w:hint="default"/>
      </w:rPr>
    </w:lvl>
    <w:lvl w:ilvl="1" w:tplc="A2307A72">
      <w:start w:val="1"/>
      <w:numFmt w:val="bullet"/>
      <w:lvlText w:val="o"/>
      <w:lvlJc w:val="left"/>
      <w:pPr>
        <w:ind w:left="1440" w:hanging="360"/>
      </w:pPr>
      <w:rPr>
        <w:rFonts w:ascii="Courier New" w:hAnsi="Courier New" w:hint="default"/>
      </w:rPr>
    </w:lvl>
    <w:lvl w:ilvl="2" w:tplc="FB36EE44">
      <w:start w:val="1"/>
      <w:numFmt w:val="bullet"/>
      <w:lvlText w:val=""/>
      <w:lvlJc w:val="left"/>
      <w:pPr>
        <w:ind w:left="2160" w:hanging="360"/>
      </w:pPr>
      <w:rPr>
        <w:rFonts w:ascii="Wingdings" w:hAnsi="Wingdings" w:hint="default"/>
      </w:rPr>
    </w:lvl>
    <w:lvl w:ilvl="3" w:tplc="4BCAD744">
      <w:start w:val="1"/>
      <w:numFmt w:val="bullet"/>
      <w:lvlText w:val=""/>
      <w:lvlJc w:val="left"/>
      <w:pPr>
        <w:ind w:left="2880" w:hanging="360"/>
      </w:pPr>
      <w:rPr>
        <w:rFonts w:ascii="Symbol" w:hAnsi="Symbol" w:hint="default"/>
      </w:rPr>
    </w:lvl>
    <w:lvl w:ilvl="4" w:tplc="F30C9612">
      <w:start w:val="1"/>
      <w:numFmt w:val="bullet"/>
      <w:lvlText w:val="o"/>
      <w:lvlJc w:val="left"/>
      <w:pPr>
        <w:ind w:left="3600" w:hanging="360"/>
      </w:pPr>
      <w:rPr>
        <w:rFonts w:ascii="Courier New" w:hAnsi="Courier New" w:hint="default"/>
      </w:rPr>
    </w:lvl>
    <w:lvl w:ilvl="5" w:tplc="9D543742">
      <w:start w:val="1"/>
      <w:numFmt w:val="bullet"/>
      <w:lvlText w:val=""/>
      <w:lvlJc w:val="left"/>
      <w:pPr>
        <w:ind w:left="4320" w:hanging="360"/>
      </w:pPr>
      <w:rPr>
        <w:rFonts w:ascii="Wingdings" w:hAnsi="Wingdings" w:hint="default"/>
      </w:rPr>
    </w:lvl>
    <w:lvl w:ilvl="6" w:tplc="5DE458C2">
      <w:start w:val="1"/>
      <w:numFmt w:val="bullet"/>
      <w:lvlText w:val=""/>
      <w:lvlJc w:val="left"/>
      <w:pPr>
        <w:ind w:left="5040" w:hanging="360"/>
      </w:pPr>
      <w:rPr>
        <w:rFonts w:ascii="Symbol" w:hAnsi="Symbol" w:hint="default"/>
      </w:rPr>
    </w:lvl>
    <w:lvl w:ilvl="7" w:tplc="69789FBA">
      <w:start w:val="1"/>
      <w:numFmt w:val="bullet"/>
      <w:lvlText w:val="o"/>
      <w:lvlJc w:val="left"/>
      <w:pPr>
        <w:ind w:left="5760" w:hanging="360"/>
      </w:pPr>
      <w:rPr>
        <w:rFonts w:ascii="Courier New" w:hAnsi="Courier New" w:hint="default"/>
      </w:rPr>
    </w:lvl>
    <w:lvl w:ilvl="8" w:tplc="2DDCBE0C">
      <w:start w:val="1"/>
      <w:numFmt w:val="bullet"/>
      <w:lvlText w:val=""/>
      <w:lvlJc w:val="left"/>
      <w:pPr>
        <w:ind w:left="6480" w:hanging="360"/>
      </w:pPr>
      <w:rPr>
        <w:rFonts w:ascii="Wingdings" w:hAnsi="Wingdings" w:hint="default"/>
      </w:rPr>
    </w:lvl>
  </w:abstractNum>
  <w:abstractNum w:abstractNumId="40" w15:restartNumberingAfterBreak="0">
    <w:nsid w:val="7D4F083E"/>
    <w:multiLevelType w:val="multilevel"/>
    <w:tmpl w:val="A264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88141C"/>
    <w:multiLevelType w:val="multilevel"/>
    <w:tmpl w:val="4B2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D94A01"/>
    <w:multiLevelType w:val="multilevel"/>
    <w:tmpl w:val="9E8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6A022E"/>
    <w:multiLevelType w:val="multilevel"/>
    <w:tmpl w:val="811C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10784">
    <w:abstractNumId w:val="25"/>
  </w:num>
  <w:num w:numId="2" w16cid:durableId="2142183136">
    <w:abstractNumId w:val="34"/>
  </w:num>
  <w:num w:numId="3" w16cid:durableId="15037707">
    <w:abstractNumId w:val="29"/>
  </w:num>
  <w:num w:numId="4" w16cid:durableId="417488472">
    <w:abstractNumId w:val="38"/>
  </w:num>
  <w:num w:numId="5" w16cid:durableId="948198021">
    <w:abstractNumId w:val="13"/>
  </w:num>
  <w:num w:numId="6" w16cid:durableId="122236408">
    <w:abstractNumId w:val="8"/>
  </w:num>
  <w:num w:numId="7" w16cid:durableId="1576011025">
    <w:abstractNumId w:val="33"/>
  </w:num>
  <w:num w:numId="8" w16cid:durableId="1798376343">
    <w:abstractNumId w:val="28"/>
  </w:num>
  <w:num w:numId="9" w16cid:durableId="1070229524">
    <w:abstractNumId w:val="18"/>
  </w:num>
  <w:num w:numId="10" w16cid:durableId="486287040">
    <w:abstractNumId w:val="22"/>
  </w:num>
  <w:num w:numId="11" w16cid:durableId="1602297973">
    <w:abstractNumId w:val="39"/>
  </w:num>
  <w:num w:numId="12" w16cid:durableId="653803063">
    <w:abstractNumId w:val="2"/>
  </w:num>
  <w:num w:numId="13" w16cid:durableId="2057002569">
    <w:abstractNumId w:val="5"/>
  </w:num>
  <w:num w:numId="14" w16cid:durableId="388921593">
    <w:abstractNumId w:val="41"/>
  </w:num>
  <w:num w:numId="15" w16cid:durableId="626081606">
    <w:abstractNumId w:val="19"/>
  </w:num>
  <w:num w:numId="16" w16cid:durableId="1300914478">
    <w:abstractNumId w:val="17"/>
  </w:num>
  <w:num w:numId="17" w16cid:durableId="984166349">
    <w:abstractNumId w:val="40"/>
  </w:num>
  <w:num w:numId="18" w16cid:durableId="1292437461">
    <w:abstractNumId w:val="1"/>
  </w:num>
  <w:num w:numId="19" w16cid:durableId="578708510">
    <w:abstractNumId w:val="23"/>
  </w:num>
  <w:num w:numId="20" w16cid:durableId="846017765">
    <w:abstractNumId w:val="16"/>
  </w:num>
  <w:num w:numId="21" w16cid:durableId="1280913355">
    <w:abstractNumId w:val="35"/>
  </w:num>
  <w:num w:numId="22" w16cid:durableId="1806466015">
    <w:abstractNumId w:val="21"/>
  </w:num>
  <w:num w:numId="23" w16cid:durableId="1403718096">
    <w:abstractNumId w:val="31"/>
  </w:num>
  <w:num w:numId="24" w16cid:durableId="66198058">
    <w:abstractNumId w:val="9"/>
  </w:num>
  <w:num w:numId="25" w16cid:durableId="1274701920">
    <w:abstractNumId w:val="36"/>
  </w:num>
  <w:num w:numId="26" w16cid:durableId="2021857936">
    <w:abstractNumId w:val="43"/>
  </w:num>
  <w:num w:numId="27" w16cid:durableId="2109693661">
    <w:abstractNumId w:val="24"/>
  </w:num>
  <w:num w:numId="28" w16cid:durableId="109932928">
    <w:abstractNumId w:val="10"/>
  </w:num>
  <w:num w:numId="29" w16cid:durableId="1706564995">
    <w:abstractNumId w:val="4"/>
  </w:num>
  <w:num w:numId="30" w16cid:durableId="990601395">
    <w:abstractNumId w:val="27"/>
  </w:num>
  <w:num w:numId="31" w16cid:durableId="1052849765">
    <w:abstractNumId w:val="0"/>
  </w:num>
  <w:num w:numId="32" w16cid:durableId="1933934113">
    <w:abstractNumId w:val="42"/>
  </w:num>
  <w:num w:numId="33" w16cid:durableId="860632299">
    <w:abstractNumId w:val="6"/>
  </w:num>
  <w:num w:numId="34" w16cid:durableId="1685012560">
    <w:abstractNumId w:val="26"/>
  </w:num>
  <w:num w:numId="35" w16cid:durableId="1875654816">
    <w:abstractNumId w:val="37"/>
  </w:num>
  <w:num w:numId="36" w16cid:durableId="720520236">
    <w:abstractNumId w:val="15"/>
  </w:num>
  <w:num w:numId="37" w16cid:durableId="1831019097">
    <w:abstractNumId w:val="12"/>
  </w:num>
  <w:num w:numId="38" w16cid:durableId="1447114372">
    <w:abstractNumId w:val="32"/>
  </w:num>
  <w:num w:numId="39" w16cid:durableId="527254575">
    <w:abstractNumId w:val="20"/>
  </w:num>
  <w:num w:numId="40" w16cid:durableId="1322077425">
    <w:abstractNumId w:val="11"/>
  </w:num>
  <w:num w:numId="41" w16cid:durableId="2058775948">
    <w:abstractNumId w:val="3"/>
  </w:num>
  <w:num w:numId="42" w16cid:durableId="429938375">
    <w:abstractNumId w:val="30"/>
  </w:num>
  <w:num w:numId="43" w16cid:durableId="573125258">
    <w:abstractNumId w:val="14"/>
  </w:num>
  <w:num w:numId="44" w16cid:durableId="1426877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66"/>
    <w:rsid w:val="000015B9"/>
    <w:rsid w:val="00002A67"/>
    <w:rsid w:val="00006DD3"/>
    <w:rsid w:val="000117F2"/>
    <w:rsid w:val="00011FC7"/>
    <w:rsid w:val="00012A62"/>
    <w:rsid w:val="00013DA6"/>
    <w:rsid w:val="00014350"/>
    <w:rsid w:val="00016BF2"/>
    <w:rsid w:val="000176B8"/>
    <w:rsid w:val="000206D6"/>
    <w:rsid w:val="00021182"/>
    <w:rsid w:val="00023A2B"/>
    <w:rsid w:val="0002507B"/>
    <w:rsid w:val="0003045E"/>
    <w:rsid w:val="00031C88"/>
    <w:rsid w:val="00031EBC"/>
    <w:rsid w:val="00034438"/>
    <w:rsid w:val="000347A2"/>
    <w:rsid w:val="00035DFF"/>
    <w:rsid w:val="00036F0A"/>
    <w:rsid w:val="00042346"/>
    <w:rsid w:val="00045198"/>
    <w:rsid w:val="00052862"/>
    <w:rsid w:val="00052AC8"/>
    <w:rsid w:val="00053A70"/>
    <w:rsid w:val="000550CD"/>
    <w:rsid w:val="000553F5"/>
    <w:rsid w:val="00055B81"/>
    <w:rsid w:val="00055D1B"/>
    <w:rsid w:val="00056BA9"/>
    <w:rsid w:val="00056ECF"/>
    <w:rsid w:val="0005723A"/>
    <w:rsid w:val="00057994"/>
    <w:rsid w:val="0006595A"/>
    <w:rsid w:val="000665E3"/>
    <w:rsid w:val="00066DAF"/>
    <w:rsid w:val="000670AE"/>
    <w:rsid w:val="0007102B"/>
    <w:rsid w:val="0007109C"/>
    <w:rsid w:val="000726DF"/>
    <w:rsid w:val="00072A6A"/>
    <w:rsid w:val="000764A8"/>
    <w:rsid w:val="00081296"/>
    <w:rsid w:val="00081ED8"/>
    <w:rsid w:val="00082149"/>
    <w:rsid w:val="00082500"/>
    <w:rsid w:val="00087342"/>
    <w:rsid w:val="00091A8E"/>
    <w:rsid w:val="000A062F"/>
    <w:rsid w:val="000A193E"/>
    <w:rsid w:val="000A2539"/>
    <w:rsid w:val="000A3DFE"/>
    <w:rsid w:val="000A4D1F"/>
    <w:rsid w:val="000A5E71"/>
    <w:rsid w:val="000A7AD5"/>
    <w:rsid w:val="000B357F"/>
    <w:rsid w:val="000B36A7"/>
    <w:rsid w:val="000B4D40"/>
    <w:rsid w:val="000C012C"/>
    <w:rsid w:val="000C0758"/>
    <w:rsid w:val="000C1186"/>
    <w:rsid w:val="000C2D98"/>
    <w:rsid w:val="000D22D4"/>
    <w:rsid w:val="000D25D5"/>
    <w:rsid w:val="000D32BF"/>
    <w:rsid w:val="000D449F"/>
    <w:rsid w:val="000D7AE3"/>
    <w:rsid w:val="000E05D9"/>
    <w:rsid w:val="000E1271"/>
    <w:rsid w:val="000E164E"/>
    <w:rsid w:val="000E1670"/>
    <w:rsid w:val="000E6B5F"/>
    <w:rsid w:val="000E6C58"/>
    <w:rsid w:val="000E7578"/>
    <w:rsid w:val="000F0240"/>
    <w:rsid w:val="000F134C"/>
    <w:rsid w:val="000F4F07"/>
    <w:rsid w:val="000F5413"/>
    <w:rsid w:val="000F6244"/>
    <w:rsid w:val="000F6DD9"/>
    <w:rsid w:val="0010313F"/>
    <w:rsid w:val="00106CFD"/>
    <w:rsid w:val="0010775E"/>
    <w:rsid w:val="0011010E"/>
    <w:rsid w:val="00113041"/>
    <w:rsid w:val="001138A3"/>
    <w:rsid w:val="001141D5"/>
    <w:rsid w:val="0011693B"/>
    <w:rsid w:val="00120019"/>
    <w:rsid w:val="00120657"/>
    <w:rsid w:val="001231FB"/>
    <w:rsid w:val="001234E3"/>
    <w:rsid w:val="001236EF"/>
    <w:rsid w:val="00124013"/>
    <w:rsid w:val="0012552D"/>
    <w:rsid w:val="00131A0B"/>
    <w:rsid w:val="001336E2"/>
    <w:rsid w:val="00133BB7"/>
    <w:rsid w:val="00134555"/>
    <w:rsid w:val="0013590D"/>
    <w:rsid w:val="0014086D"/>
    <w:rsid w:val="00140D97"/>
    <w:rsid w:val="00143B70"/>
    <w:rsid w:val="00150561"/>
    <w:rsid w:val="00150EF7"/>
    <w:rsid w:val="0015434F"/>
    <w:rsid w:val="00155075"/>
    <w:rsid w:val="00155C25"/>
    <w:rsid w:val="0015B99A"/>
    <w:rsid w:val="0016111C"/>
    <w:rsid w:val="001639E2"/>
    <w:rsid w:val="00163C43"/>
    <w:rsid w:val="00164423"/>
    <w:rsid w:val="00167FC0"/>
    <w:rsid w:val="001709AD"/>
    <w:rsid w:val="001718BB"/>
    <w:rsid w:val="001728E0"/>
    <w:rsid w:val="00176D44"/>
    <w:rsid w:val="0018051A"/>
    <w:rsid w:val="001827FF"/>
    <w:rsid w:val="00185EFA"/>
    <w:rsid w:val="0018732C"/>
    <w:rsid w:val="00187F9D"/>
    <w:rsid w:val="00190865"/>
    <w:rsid w:val="0019171A"/>
    <w:rsid w:val="0019274C"/>
    <w:rsid w:val="0019399D"/>
    <w:rsid w:val="001950F3"/>
    <w:rsid w:val="001966D0"/>
    <w:rsid w:val="00197BE7"/>
    <w:rsid w:val="00197FC5"/>
    <w:rsid w:val="001A061D"/>
    <w:rsid w:val="001A166F"/>
    <w:rsid w:val="001A1C74"/>
    <w:rsid w:val="001A3D62"/>
    <w:rsid w:val="001A607E"/>
    <w:rsid w:val="001A68B3"/>
    <w:rsid w:val="001B01BC"/>
    <w:rsid w:val="001B0BAD"/>
    <w:rsid w:val="001B4874"/>
    <w:rsid w:val="001B5BD1"/>
    <w:rsid w:val="001C6BB6"/>
    <w:rsid w:val="001C7227"/>
    <w:rsid w:val="001D239D"/>
    <w:rsid w:val="001D2BE1"/>
    <w:rsid w:val="001D62DD"/>
    <w:rsid w:val="001E1609"/>
    <w:rsid w:val="001E3B8F"/>
    <w:rsid w:val="001E3D89"/>
    <w:rsid w:val="001E48F9"/>
    <w:rsid w:val="001E5AEC"/>
    <w:rsid w:val="001E7DBA"/>
    <w:rsid w:val="001F02FF"/>
    <w:rsid w:val="001F2998"/>
    <w:rsid w:val="001F474E"/>
    <w:rsid w:val="001F507C"/>
    <w:rsid w:val="001F5C65"/>
    <w:rsid w:val="001F6A18"/>
    <w:rsid w:val="001F6A43"/>
    <w:rsid w:val="0020600C"/>
    <w:rsid w:val="00207945"/>
    <w:rsid w:val="002126DC"/>
    <w:rsid w:val="00212FF6"/>
    <w:rsid w:val="002150A8"/>
    <w:rsid w:val="00215F0F"/>
    <w:rsid w:val="002166DE"/>
    <w:rsid w:val="00216796"/>
    <w:rsid w:val="00216D03"/>
    <w:rsid w:val="00217888"/>
    <w:rsid w:val="00217C08"/>
    <w:rsid w:val="0022043E"/>
    <w:rsid w:val="002218D0"/>
    <w:rsid w:val="00222C32"/>
    <w:rsid w:val="00224E23"/>
    <w:rsid w:val="00226988"/>
    <w:rsid w:val="0022752F"/>
    <w:rsid w:val="0022785A"/>
    <w:rsid w:val="002300BE"/>
    <w:rsid w:val="002300F1"/>
    <w:rsid w:val="002302C6"/>
    <w:rsid w:val="00230C34"/>
    <w:rsid w:val="002310AA"/>
    <w:rsid w:val="00235059"/>
    <w:rsid w:val="00237BEF"/>
    <w:rsid w:val="002423EB"/>
    <w:rsid w:val="002426A7"/>
    <w:rsid w:val="00242B94"/>
    <w:rsid w:val="00242BE7"/>
    <w:rsid w:val="00242F34"/>
    <w:rsid w:val="002451D3"/>
    <w:rsid w:val="002463D4"/>
    <w:rsid w:val="00246A05"/>
    <w:rsid w:val="00252747"/>
    <w:rsid w:val="00253244"/>
    <w:rsid w:val="0025450A"/>
    <w:rsid w:val="0025539E"/>
    <w:rsid w:val="00260A6B"/>
    <w:rsid w:val="00261DFC"/>
    <w:rsid w:val="002664C3"/>
    <w:rsid w:val="00270C62"/>
    <w:rsid w:val="00272CBB"/>
    <w:rsid w:val="0028088A"/>
    <w:rsid w:val="00281E03"/>
    <w:rsid w:val="00282316"/>
    <w:rsid w:val="00283F06"/>
    <w:rsid w:val="002843A6"/>
    <w:rsid w:val="00285A02"/>
    <w:rsid w:val="00285DD9"/>
    <w:rsid w:val="0029043D"/>
    <w:rsid w:val="0029129C"/>
    <w:rsid w:val="002914EC"/>
    <w:rsid w:val="00294A14"/>
    <w:rsid w:val="00295AA5"/>
    <w:rsid w:val="002A0058"/>
    <w:rsid w:val="002A1429"/>
    <w:rsid w:val="002A69C3"/>
    <w:rsid w:val="002B0D7E"/>
    <w:rsid w:val="002B1165"/>
    <w:rsid w:val="002B57E5"/>
    <w:rsid w:val="002B59D5"/>
    <w:rsid w:val="002C7753"/>
    <w:rsid w:val="002D2376"/>
    <w:rsid w:val="002D25FD"/>
    <w:rsid w:val="002D36B6"/>
    <w:rsid w:val="002D36FC"/>
    <w:rsid w:val="002E1DE2"/>
    <w:rsid w:val="002E20EF"/>
    <w:rsid w:val="002E629D"/>
    <w:rsid w:val="002E6533"/>
    <w:rsid w:val="002E6872"/>
    <w:rsid w:val="002E6893"/>
    <w:rsid w:val="002E7402"/>
    <w:rsid w:val="002F1CCA"/>
    <w:rsid w:val="002F4455"/>
    <w:rsid w:val="0030305F"/>
    <w:rsid w:val="0030391E"/>
    <w:rsid w:val="00305421"/>
    <w:rsid w:val="003057D2"/>
    <w:rsid w:val="0031077D"/>
    <w:rsid w:val="003118EB"/>
    <w:rsid w:val="00311D1E"/>
    <w:rsid w:val="00311D75"/>
    <w:rsid w:val="00311E3C"/>
    <w:rsid w:val="0031459C"/>
    <w:rsid w:val="0031605D"/>
    <w:rsid w:val="003160CB"/>
    <w:rsid w:val="003203AE"/>
    <w:rsid w:val="00322A19"/>
    <w:rsid w:val="00326178"/>
    <w:rsid w:val="00330B1A"/>
    <w:rsid w:val="00331581"/>
    <w:rsid w:val="00332ADA"/>
    <w:rsid w:val="00334DA4"/>
    <w:rsid w:val="00334F65"/>
    <w:rsid w:val="003410C8"/>
    <w:rsid w:val="003420C4"/>
    <w:rsid w:val="00346C7C"/>
    <w:rsid w:val="0035096A"/>
    <w:rsid w:val="00351CC3"/>
    <w:rsid w:val="00351E9C"/>
    <w:rsid w:val="00357457"/>
    <w:rsid w:val="00360876"/>
    <w:rsid w:val="003625BF"/>
    <w:rsid w:val="00363A37"/>
    <w:rsid w:val="00364DC6"/>
    <w:rsid w:val="00367E43"/>
    <w:rsid w:val="00373914"/>
    <w:rsid w:val="00373B69"/>
    <w:rsid w:val="00375E7E"/>
    <w:rsid w:val="00377795"/>
    <w:rsid w:val="00385896"/>
    <w:rsid w:val="00385D74"/>
    <w:rsid w:val="00390AFE"/>
    <w:rsid w:val="00392B7D"/>
    <w:rsid w:val="00392DDE"/>
    <w:rsid w:val="00392ECB"/>
    <w:rsid w:val="0039431A"/>
    <w:rsid w:val="00395631"/>
    <w:rsid w:val="003A0399"/>
    <w:rsid w:val="003A1804"/>
    <w:rsid w:val="003A1C62"/>
    <w:rsid w:val="003A51FA"/>
    <w:rsid w:val="003A599C"/>
    <w:rsid w:val="003A5DAA"/>
    <w:rsid w:val="003A662E"/>
    <w:rsid w:val="003A6815"/>
    <w:rsid w:val="003A74AE"/>
    <w:rsid w:val="003A7783"/>
    <w:rsid w:val="003B1BBF"/>
    <w:rsid w:val="003B1D1F"/>
    <w:rsid w:val="003B711D"/>
    <w:rsid w:val="003B72CD"/>
    <w:rsid w:val="003B749E"/>
    <w:rsid w:val="003C1F7E"/>
    <w:rsid w:val="003C3232"/>
    <w:rsid w:val="003C32B1"/>
    <w:rsid w:val="003C3414"/>
    <w:rsid w:val="003C479C"/>
    <w:rsid w:val="003D1F49"/>
    <w:rsid w:val="003D304C"/>
    <w:rsid w:val="003E17BD"/>
    <w:rsid w:val="003E1F1C"/>
    <w:rsid w:val="003E4047"/>
    <w:rsid w:val="003E6C93"/>
    <w:rsid w:val="003E7FA1"/>
    <w:rsid w:val="003F1126"/>
    <w:rsid w:val="003F1B4E"/>
    <w:rsid w:val="003F3406"/>
    <w:rsid w:val="003F42F6"/>
    <w:rsid w:val="003F75BC"/>
    <w:rsid w:val="003FB463"/>
    <w:rsid w:val="00400D70"/>
    <w:rsid w:val="00401A3C"/>
    <w:rsid w:val="00402E53"/>
    <w:rsid w:val="0040764C"/>
    <w:rsid w:val="004078EC"/>
    <w:rsid w:val="004114B0"/>
    <w:rsid w:val="004139BD"/>
    <w:rsid w:val="00414632"/>
    <w:rsid w:val="00414962"/>
    <w:rsid w:val="00414A53"/>
    <w:rsid w:val="00415645"/>
    <w:rsid w:val="004222BD"/>
    <w:rsid w:val="00423975"/>
    <w:rsid w:val="00423BA4"/>
    <w:rsid w:val="00426DF9"/>
    <w:rsid w:val="0043089F"/>
    <w:rsid w:val="00432163"/>
    <w:rsid w:val="00435970"/>
    <w:rsid w:val="0043607A"/>
    <w:rsid w:val="0044156D"/>
    <w:rsid w:val="00442730"/>
    <w:rsid w:val="00442BB5"/>
    <w:rsid w:val="00443A8E"/>
    <w:rsid w:val="00443B2E"/>
    <w:rsid w:val="00446084"/>
    <w:rsid w:val="00450BE1"/>
    <w:rsid w:val="00455899"/>
    <w:rsid w:val="00457920"/>
    <w:rsid w:val="00461292"/>
    <w:rsid w:val="00461E87"/>
    <w:rsid w:val="00462E73"/>
    <w:rsid w:val="00465B74"/>
    <w:rsid w:val="004679AE"/>
    <w:rsid w:val="004700E2"/>
    <w:rsid w:val="00471C78"/>
    <w:rsid w:val="00473257"/>
    <w:rsid w:val="004743FE"/>
    <w:rsid w:val="00475E22"/>
    <w:rsid w:val="00481F00"/>
    <w:rsid w:val="004837F8"/>
    <w:rsid w:val="0048408D"/>
    <w:rsid w:val="0049075F"/>
    <w:rsid w:val="004928AF"/>
    <w:rsid w:val="00495202"/>
    <w:rsid w:val="00497DBA"/>
    <w:rsid w:val="004A1C9E"/>
    <w:rsid w:val="004A299E"/>
    <w:rsid w:val="004A61E2"/>
    <w:rsid w:val="004B3133"/>
    <w:rsid w:val="004B3464"/>
    <w:rsid w:val="004B6FE5"/>
    <w:rsid w:val="004B78F0"/>
    <w:rsid w:val="004C15BA"/>
    <w:rsid w:val="004C23DC"/>
    <w:rsid w:val="004C49A7"/>
    <w:rsid w:val="004C4BEB"/>
    <w:rsid w:val="004C6D3D"/>
    <w:rsid w:val="004C715B"/>
    <w:rsid w:val="004D0792"/>
    <w:rsid w:val="004D1D98"/>
    <w:rsid w:val="004D2E23"/>
    <w:rsid w:val="004D5499"/>
    <w:rsid w:val="004D5F73"/>
    <w:rsid w:val="004D61A5"/>
    <w:rsid w:val="004E32C3"/>
    <w:rsid w:val="004E4198"/>
    <w:rsid w:val="004E4383"/>
    <w:rsid w:val="004E59D3"/>
    <w:rsid w:val="004F0CDB"/>
    <w:rsid w:val="004F11B7"/>
    <w:rsid w:val="004F3193"/>
    <w:rsid w:val="00500C7B"/>
    <w:rsid w:val="00501B96"/>
    <w:rsid w:val="005134A8"/>
    <w:rsid w:val="00513D60"/>
    <w:rsid w:val="00514BE5"/>
    <w:rsid w:val="00516573"/>
    <w:rsid w:val="00516CAA"/>
    <w:rsid w:val="00524584"/>
    <w:rsid w:val="0052576D"/>
    <w:rsid w:val="0052598B"/>
    <w:rsid w:val="00526362"/>
    <w:rsid w:val="00531F3F"/>
    <w:rsid w:val="00532E68"/>
    <w:rsid w:val="005330A3"/>
    <w:rsid w:val="00535FD2"/>
    <w:rsid w:val="00536764"/>
    <w:rsid w:val="00536FC5"/>
    <w:rsid w:val="00550785"/>
    <w:rsid w:val="005509CC"/>
    <w:rsid w:val="005513D3"/>
    <w:rsid w:val="00551963"/>
    <w:rsid w:val="005535BD"/>
    <w:rsid w:val="005559C7"/>
    <w:rsid w:val="00565A36"/>
    <w:rsid w:val="00567DD4"/>
    <w:rsid w:val="00567E61"/>
    <w:rsid w:val="00570BC9"/>
    <w:rsid w:val="00570E36"/>
    <w:rsid w:val="005763DD"/>
    <w:rsid w:val="00580320"/>
    <w:rsid w:val="00580B35"/>
    <w:rsid w:val="0058184B"/>
    <w:rsid w:val="005818CE"/>
    <w:rsid w:val="0058339C"/>
    <w:rsid w:val="005842EF"/>
    <w:rsid w:val="00591788"/>
    <w:rsid w:val="005938DE"/>
    <w:rsid w:val="005940E7"/>
    <w:rsid w:val="0059770C"/>
    <w:rsid w:val="005978AD"/>
    <w:rsid w:val="005A0C25"/>
    <w:rsid w:val="005A2544"/>
    <w:rsid w:val="005A36B9"/>
    <w:rsid w:val="005A64C1"/>
    <w:rsid w:val="005A7D63"/>
    <w:rsid w:val="005B04AD"/>
    <w:rsid w:val="005B11C1"/>
    <w:rsid w:val="005B39F9"/>
    <w:rsid w:val="005B563C"/>
    <w:rsid w:val="005C09CF"/>
    <w:rsid w:val="005C1044"/>
    <w:rsid w:val="005C5ADA"/>
    <w:rsid w:val="005D2E66"/>
    <w:rsid w:val="005D3864"/>
    <w:rsid w:val="005D484F"/>
    <w:rsid w:val="005D49BC"/>
    <w:rsid w:val="005D5560"/>
    <w:rsid w:val="005E1602"/>
    <w:rsid w:val="005E333B"/>
    <w:rsid w:val="005E3F14"/>
    <w:rsid w:val="005E48B0"/>
    <w:rsid w:val="005E63C9"/>
    <w:rsid w:val="005E69CB"/>
    <w:rsid w:val="005E7D7A"/>
    <w:rsid w:val="005F0AAE"/>
    <w:rsid w:val="005F0D9A"/>
    <w:rsid w:val="005F18F0"/>
    <w:rsid w:val="005F18F7"/>
    <w:rsid w:val="005F36B9"/>
    <w:rsid w:val="005F4787"/>
    <w:rsid w:val="005F533C"/>
    <w:rsid w:val="005FB804"/>
    <w:rsid w:val="006049EA"/>
    <w:rsid w:val="00606319"/>
    <w:rsid w:val="00606F40"/>
    <w:rsid w:val="00607533"/>
    <w:rsid w:val="00607B5A"/>
    <w:rsid w:val="006106EF"/>
    <w:rsid w:val="006108B4"/>
    <w:rsid w:val="00611945"/>
    <w:rsid w:val="00611DC5"/>
    <w:rsid w:val="006174EC"/>
    <w:rsid w:val="00620F05"/>
    <w:rsid w:val="0062195E"/>
    <w:rsid w:val="00625A75"/>
    <w:rsid w:val="006270C7"/>
    <w:rsid w:val="00630054"/>
    <w:rsid w:val="006309F6"/>
    <w:rsid w:val="00632795"/>
    <w:rsid w:val="00632BE3"/>
    <w:rsid w:val="00635CAA"/>
    <w:rsid w:val="00635CAC"/>
    <w:rsid w:val="00636483"/>
    <w:rsid w:val="00641CA4"/>
    <w:rsid w:val="006425AE"/>
    <w:rsid w:val="00642AC1"/>
    <w:rsid w:val="006431D9"/>
    <w:rsid w:val="00644B6C"/>
    <w:rsid w:val="006451FC"/>
    <w:rsid w:val="006468B2"/>
    <w:rsid w:val="00647DA9"/>
    <w:rsid w:val="006502B8"/>
    <w:rsid w:val="006529D2"/>
    <w:rsid w:val="00654B07"/>
    <w:rsid w:val="00657263"/>
    <w:rsid w:val="00657A6A"/>
    <w:rsid w:val="006641D9"/>
    <w:rsid w:val="006642DD"/>
    <w:rsid w:val="00670E47"/>
    <w:rsid w:val="006718C1"/>
    <w:rsid w:val="00672B16"/>
    <w:rsid w:val="00673812"/>
    <w:rsid w:val="006767AD"/>
    <w:rsid w:val="00677209"/>
    <w:rsid w:val="00677367"/>
    <w:rsid w:val="00680912"/>
    <w:rsid w:val="00680FAD"/>
    <w:rsid w:val="00685FA8"/>
    <w:rsid w:val="00686EB2"/>
    <w:rsid w:val="006906A0"/>
    <w:rsid w:val="00690C83"/>
    <w:rsid w:val="00690F84"/>
    <w:rsid w:val="006A0040"/>
    <w:rsid w:val="006A28DA"/>
    <w:rsid w:val="006A4A94"/>
    <w:rsid w:val="006A4D28"/>
    <w:rsid w:val="006A514C"/>
    <w:rsid w:val="006B2D6D"/>
    <w:rsid w:val="006B318C"/>
    <w:rsid w:val="006B414B"/>
    <w:rsid w:val="006B49C1"/>
    <w:rsid w:val="006C0B4E"/>
    <w:rsid w:val="006C1CC5"/>
    <w:rsid w:val="006C2829"/>
    <w:rsid w:val="006C395F"/>
    <w:rsid w:val="006C537F"/>
    <w:rsid w:val="006D1D42"/>
    <w:rsid w:val="006D37CE"/>
    <w:rsid w:val="006D73DD"/>
    <w:rsid w:val="006E0F16"/>
    <w:rsid w:val="006E0F4F"/>
    <w:rsid w:val="006E4996"/>
    <w:rsid w:val="006E583A"/>
    <w:rsid w:val="006E59AF"/>
    <w:rsid w:val="006E639A"/>
    <w:rsid w:val="006F08A5"/>
    <w:rsid w:val="006F31B0"/>
    <w:rsid w:val="006F427F"/>
    <w:rsid w:val="00700EF6"/>
    <w:rsid w:val="00701795"/>
    <w:rsid w:val="00703011"/>
    <w:rsid w:val="00703284"/>
    <w:rsid w:val="007040C9"/>
    <w:rsid w:val="00705257"/>
    <w:rsid w:val="00707E77"/>
    <w:rsid w:val="007113BF"/>
    <w:rsid w:val="0071428F"/>
    <w:rsid w:val="00714A3F"/>
    <w:rsid w:val="007155F3"/>
    <w:rsid w:val="00722418"/>
    <w:rsid w:val="00723B7B"/>
    <w:rsid w:val="0072515D"/>
    <w:rsid w:val="007265B0"/>
    <w:rsid w:val="007302CF"/>
    <w:rsid w:val="007308C8"/>
    <w:rsid w:val="00731197"/>
    <w:rsid w:val="0073182D"/>
    <w:rsid w:val="00731E5F"/>
    <w:rsid w:val="007350BC"/>
    <w:rsid w:val="007352B9"/>
    <w:rsid w:val="007364D0"/>
    <w:rsid w:val="00736FD4"/>
    <w:rsid w:val="00737284"/>
    <w:rsid w:val="00744FEC"/>
    <w:rsid w:val="00745BFA"/>
    <w:rsid w:val="0075096B"/>
    <w:rsid w:val="0075249B"/>
    <w:rsid w:val="00752B06"/>
    <w:rsid w:val="00752C8C"/>
    <w:rsid w:val="00755990"/>
    <w:rsid w:val="0075695E"/>
    <w:rsid w:val="00756D01"/>
    <w:rsid w:val="007574A5"/>
    <w:rsid w:val="007603A2"/>
    <w:rsid w:val="00760D6E"/>
    <w:rsid w:val="00761B20"/>
    <w:rsid w:val="007653A3"/>
    <w:rsid w:val="00776287"/>
    <w:rsid w:val="00776C9C"/>
    <w:rsid w:val="007771DD"/>
    <w:rsid w:val="007802E9"/>
    <w:rsid w:val="0078284F"/>
    <w:rsid w:val="007835F5"/>
    <w:rsid w:val="00785ECD"/>
    <w:rsid w:val="00786B87"/>
    <w:rsid w:val="00790D76"/>
    <w:rsid w:val="007919CA"/>
    <w:rsid w:val="00791C6C"/>
    <w:rsid w:val="00793EFB"/>
    <w:rsid w:val="007959C7"/>
    <w:rsid w:val="007A22CC"/>
    <w:rsid w:val="007A2CD6"/>
    <w:rsid w:val="007A54D6"/>
    <w:rsid w:val="007A68C6"/>
    <w:rsid w:val="007C3BB5"/>
    <w:rsid w:val="007C4004"/>
    <w:rsid w:val="007C41B7"/>
    <w:rsid w:val="007D0C88"/>
    <w:rsid w:val="007D1A2B"/>
    <w:rsid w:val="007D1FC5"/>
    <w:rsid w:val="007D2926"/>
    <w:rsid w:val="007D2F16"/>
    <w:rsid w:val="007D447C"/>
    <w:rsid w:val="007D72D2"/>
    <w:rsid w:val="007E0260"/>
    <w:rsid w:val="007E0FF8"/>
    <w:rsid w:val="007E1150"/>
    <w:rsid w:val="007E12EA"/>
    <w:rsid w:val="007E5471"/>
    <w:rsid w:val="007E5B7B"/>
    <w:rsid w:val="007EDD32"/>
    <w:rsid w:val="007F0B8E"/>
    <w:rsid w:val="007F2976"/>
    <w:rsid w:val="007F6E96"/>
    <w:rsid w:val="007F7D53"/>
    <w:rsid w:val="008007FF"/>
    <w:rsid w:val="00800922"/>
    <w:rsid w:val="00800BE9"/>
    <w:rsid w:val="008038AA"/>
    <w:rsid w:val="00803B5D"/>
    <w:rsid w:val="008049B9"/>
    <w:rsid w:val="00807050"/>
    <w:rsid w:val="00810790"/>
    <w:rsid w:val="00812D72"/>
    <w:rsid w:val="0081604C"/>
    <w:rsid w:val="00817DA0"/>
    <w:rsid w:val="00822D1C"/>
    <w:rsid w:val="00822E79"/>
    <w:rsid w:val="0082558E"/>
    <w:rsid w:val="00832A86"/>
    <w:rsid w:val="008404B1"/>
    <w:rsid w:val="00841857"/>
    <w:rsid w:val="00843E99"/>
    <w:rsid w:val="0084466D"/>
    <w:rsid w:val="008448A6"/>
    <w:rsid w:val="0084763F"/>
    <w:rsid w:val="00851AE7"/>
    <w:rsid w:val="0085225D"/>
    <w:rsid w:val="0085456F"/>
    <w:rsid w:val="00854900"/>
    <w:rsid w:val="00860B28"/>
    <w:rsid w:val="008675F1"/>
    <w:rsid w:val="00870708"/>
    <w:rsid w:val="00871588"/>
    <w:rsid w:val="00872907"/>
    <w:rsid w:val="00873591"/>
    <w:rsid w:val="00874F6C"/>
    <w:rsid w:val="008773B2"/>
    <w:rsid w:val="00877AC5"/>
    <w:rsid w:val="00882FCA"/>
    <w:rsid w:val="0088472F"/>
    <w:rsid w:val="00884989"/>
    <w:rsid w:val="008851D2"/>
    <w:rsid w:val="00886477"/>
    <w:rsid w:val="00890A23"/>
    <w:rsid w:val="00890EDE"/>
    <w:rsid w:val="00891C44"/>
    <w:rsid w:val="00893C60"/>
    <w:rsid w:val="00893DB8"/>
    <w:rsid w:val="00894DA7"/>
    <w:rsid w:val="008950DB"/>
    <w:rsid w:val="008951DF"/>
    <w:rsid w:val="00896851"/>
    <w:rsid w:val="008968E0"/>
    <w:rsid w:val="00897318"/>
    <w:rsid w:val="008A1006"/>
    <w:rsid w:val="008A3369"/>
    <w:rsid w:val="008A4EA0"/>
    <w:rsid w:val="008B1E32"/>
    <w:rsid w:val="008C03B2"/>
    <w:rsid w:val="008C1ED3"/>
    <w:rsid w:val="008C1FE7"/>
    <w:rsid w:val="008C428F"/>
    <w:rsid w:val="008C68C2"/>
    <w:rsid w:val="008C6F8F"/>
    <w:rsid w:val="008C72F0"/>
    <w:rsid w:val="008C99DD"/>
    <w:rsid w:val="008D11B9"/>
    <w:rsid w:val="008D19D7"/>
    <w:rsid w:val="008D3099"/>
    <w:rsid w:val="008D43AA"/>
    <w:rsid w:val="008D48F2"/>
    <w:rsid w:val="008D4A84"/>
    <w:rsid w:val="008D4ACD"/>
    <w:rsid w:val="008D68EF"/>
    <w:rsid w:val="008DC36B"/>
    <w:rsid w:val="008E36DA"/>
    <w:rsid w:val="008E70A2"/>
    <w:rsid w:val="008E767B"/>
    <w:rsid w:val="008F2A5B"/>
    <w:rsid w:val="008F38AE"/>
    <w:rsid w:val="008F4095"/>
    <w:rsid w:val="00901260"/>
    <w:rsid w:val="009061B6"/>
    <w:rsid w:val="009110DA"/>
    <w:rsid w:val="00915496"/>
    <w:rsid w:val="0091695A"/>
    <w:rsid w:val="00925FE1"/>
    <w:rsid w:val="00926D87"/>
    <w:rsid w:val="0093077F"/>
    <w:rsid w:val="00931DC7"/>
    <w:rsid w:val="00935F83"/>
    <w:rsid w:val="00936BEC"/>
    <w:rsid w:val="00937A1E"/>
    <w:rsid w:val="009414DA"/>
    <w:rsid w:val="00943411"/>
    <w:rsid w:val="009509FB"/>
    <w:rsid w:val="009520A9"/>
    <w:rsid w:val="0095478D"/>
    <w:rsid w:val="00954A1F"/>
    <w:rsid w:val="009551FD"/>
    <w:rsid w:val="00955897"/>
    <w:rsid w:val="009565E4"/>
    <w:rsid w:val="00961EC5"/>
    <w:rsid w:val="00962562"/>
    <w:rsid w:val="009636E8"/>
    <w:rsid w:val="00964C32"/>
    <w:rsid w:val="009650C6"/>
    <w:rsid w:val="00971695"/>
    <w:rsid w:val="00974095"/>
    <w:rsid w:val="00976FD4"/>
    <w:rsid w:val="009802D7"/>
    <w:rsid w:val="00981621"/>
    <w:rsid w:val="0098268D"/>
    <w:rsid w:val="00982A6D"/>
    <w:rsid w:val="009854F0"/>
    <w:rsid w:val="009856AF"/>
    <w:rsid w:val="00985BC7"/>
    <w:rsid w:val="009861B0"/>
    <w:rsid w:val="009868AB"/>
    <w:rsid w:val="00986E8F"/>
    <w:rsid w:val="00991D9C"/>
    <w:rsid w:val="00993985"/>
    <w:rsid w:val="00995395"/>
    <w:rsid w:val="00995D52"/>
    <w:rsid w:val="009A12D7"/>
    <w:rsid w:val="009A2873"/>
    <w:rsid w:val="009A2E19"/>
    <w:rsid w:val="009B089D"/>
    <w:rsid w:val="009B17BA"/>
    <w:rsid w:val="009B353C"/>
    <w:rsid w:val="009B398B"/>
    <w:rsid w:val="009B3AE3"/>
    <w:rsid w:val="009B607E"/>
    <w:rsid w:val="009B6EEF"/>
    <w:rsid w:val="009C177D"/>
    <w:rsid w:val="009C1F37"/>
    <w:rsid w:val="009C53C7"/>
    <w:rsid w:val="009D0D25"/>
    <w:rsid w:val="009D1BAF"/>
    <w:rsid w:val="009D292E"/>
    <w:rsid w:val="009D2D02"/>
    <w:rsid w:val="009D5973"/>
    <w:rsid w:val="009D6D3F"/>
    <w:rsid w:val="009D7AC8"/>
    <w:rsid w:val="009E0BDC"/>
    <w:rsid w:val="009E1CD6"/>
    <w:rsid w:val="009E1E99"/>
    <w:rsid w:val="009E5397"/>
    <w:rsid w:val="009E60AA"/>
    <w:rsid w:val="009E63AE"/>
    <w:rsid w:val="009E7900"/>
    <w:rsid w:val="009F217A"/>
    <w:rsid w:val="009F2D48"/>
    <w:rsid w:val="009F3A12"/>
    <w:rsid w:val="009F477C"/>
    <w:rsid w:val="009F6036"/>
    <w:rsid w:val="009F77A0"/>
    <w:rsid w:val="00A028FC"/>
    <w:rsid w:val="00A042DB"/>
    <w:rsid w:val="00A07586"/>
    <w:rsid w:val="00A07E8D"/>
    <w:rsid w:val="00A11A69"/>
    <w:rsid w:val="00A11BFC"/>
    <w:rsid w:val="00A11DDB"/>
    <w:rsid w:val="00A14E9D"/>
    <w:rsid w:val="00A15989"/>
    <w:rsid w:val="00A15CF4"/>
    <w:rsid w:val="00A17694"/>
    <w:rsid w:val="00A17BE6"/>
    <w:rsid w:val="00A208B7"/>
    <w:rsid w:val="00A22360"/>
    <w:rsid w:val="00A25000"/>
    <w:rsid w:val="00A25897"/>
    <w:rsid w:val="00A30A0E"/>
    <w:rsid w:val="00A30E01"/>
    <w:rsid w:val="00A31ACA"/>
    <w:rsid w:val="00A3253E"/>
    <w:rsid w:val="00A32FC8"/>
    <w:rsid w:val="00A34089"/>
    <w:rsid w:val="00A35A36"/>
    <w:rsid w:val="00A36383"/>
    <w:rsid w:val="00A363A2"/>
    <w:rsid w:val="00A369DA"/>
    <w:rsid w:val="00A40468"/>
    <w:rsid w:val="00A41899"/>
    <w:rsid w:val="00A41B33"/>
    <w:rsid w:val="00A43D74"/>
    <w:rsid w:val="00A445D8"/>
    <w:rsid w:val="00A5147C"/>
    <w:rsid w:val="00A52FD2"/>
    <w:rsid w:val="00A544EF"/>
    <w:rsid w:val="00A56FA2"/>
    <w:rsid w:val="00A67B38"/>
    <w:rsid w:val="00A736AF"/>
    <w:rsid w:val="00A73A81"/>
    <w:rsid w:val="00A74607"/>
    <w:rsid w:val="00A76A0F"/>
    <w:rsid w:val="00A80031"/>
    <w:rsid w:val="00A8421C"/>
    <w:rsid w:val="00A84EB8"/>
    <w:rsid w:val="00A8512F"/>
    <w:rsid w:val="00A87E39"/>
    <w:rsid w:val="00A93A87"/>
    <w:rsid w:val="00A93D96"/>
    <w:rsid w:val="00A97AA0"/>
    <w:rsid w:val="00AA5A92"/>
    <w:rsid w:val="00AB056E"/>
    <w:rsid w:val="00AB0991"/>
    <w:rsid w:val="00AB10B6"/>
    <w:rsid w:val="00AB13E2"/>
    <w:rsid w:val="00AB1AF2"/>
    <w:rsid w:val="00AB2526"/>
    <w:rsid w:val="00AB4760"/>
    <w:rsid w:val="00AB5361"/>
    <w:rsid w:val="00AB6143"/>
    <w:rsid w:val="00AC082C"/>
    <w:rsid w:val="00AC2C89"/>
    <w:rsid w:val="00AC3064"/>
    <w:rsid w:val="00AC4F2A"/>
    <w:rsid w:val="00AC6538"/>
    <w:rsid w:val="00AC744F"/>
    <w:rsid w:val="00AD4119"/>
    <w:rsid w:val="00AD53F7"/>
    <w:rsid w:val="00AE1DF8"/>
    <w:rsid w:val="00AE2662"/>
    <w:rsid w:val="00AE64B8"/>
    <w:rsid w:val="00AE65D9"/>
    <w:rsid w:val="00AE756E"/>
    <w:rsid w:val="00AE76EF"/>
    <w:rsid w:val="00AE79DD"/>
    <w:rsid w:val="00AE7A81"/>
    <w:rsid w:val="00AF0A19"/>
    <w:rsid w:val="00AF0F87"/>
    <w:rsid w:val="00AF33B4"/>
    <w:rsid w:val="00AF357C"/>
    <w:rsid w:val="00AF3D67"/>
    <w:rsid w:val="00AF59DC"/>
    <w:rsid w:val="00AF5CBB"/>
    <w:rsid w:val="00AF616E"/>
    <w:rsid w:val="00AF6687"/>
    <w:rsid w:val="00AF7B22"/>
    <w:rsid w:val="00B01027"/>
    <w:rsid w:val="00B05DFA"/>
    <w:rsid w:val="00B120B8"/>
    <w:rsid w:val="00B12859"/>
    <w:rsid w:val="00B13601"/>
    <w:rsid w:val="00B1563F"/>
    <w:rsid w:val="00B15D9D"/>
    <w:rsid w:val="00B1695F"/>
    <w:rsid w:val="00B217D7"/>
    <w:rsid w:val="00B2207F"/>
    <w:rsid w:val="00B22B3E"/>
    <w:rsid w:val="00B235AA"/>
    <w:rsid w:val="00B25561"/>
    <w:rsid w:val="00B44236"/>
    <w:rsid w:val="00B470D4"/>
    <w:rsid w:val="00B51865"/>
    <w:rsid w:val="00B55727"/>
    <w:rsid w:val="00B5597F"/>
    <w:rsid w:val="00B56E08"/>
    <w:rsid w:val="00B62A1C"/>
    <w:rsid w:val="00B63406"/>
    <w:rsid w:val="00B667F0"/>
    <w:rsid w:val="00B667F6"/>
    <w:rsid w:val="00B7044F"/>
    <w:rsid w:val="00B712AC"/>
    <w:rsid w:val="00B80A63"/>
    <w:rsid w:val="00B81969"/>
    <w:rsid w:val="00B81CC5"/>
    <w:rsid w:val="00B86807"/>
    <w:rsid w:val="00B869C4"/>
    <w:rsid w:val="00B90636"/>
    <w:rsid w:val="00B916C5"/>
    <w:rsid w:val="00B92726"/>
    <w:rsid w:val="00B94316"/>
    <w:rsid w:val="00B959AF"/>
    <w:rsid w:val="00B95F90"/>
    <w:rsid w:val="00BA5AC9"/>
    <w:rsid w:val="00BA770B"/>
    <w:rsid w:val="00BB2493"/>
    <w:rsid w:val="00BB2677"/>
    <w:rsid w:val="00BB6FA3"/>
    <w:rsid w:val="00BB710E"/>
    <w:rsid w:val="00BB7930"/>
    <w:rsid w:val="00BC259A"/>
    <w:rsid w:val="00BC4248"/>
    <w:rsid w:val="00BC43E3"/>
    <w:rsid w:val="00BC7505"/>
    <w:rsid w:val="00BD0486"/>
    <w:rsid w:val="00BD50B7"/>
    <w:rsid w:val="00BD6F56"/>
    <w:rsid w:val="00BF0098"/>
    <w:rsid w:val="00BF1BF8"/>
    <w:rsid w:val="00BF2138"/>
    <w:rsid w:val="00BF2CD6"/>
    <w:rsid w:val="00BF4083"/>
    <w:rsid w:val="00BF451C"/>
    <w:rsid w:val="00BF4751"/>
    <w:rsid w:val="00BF606B"/>
    <w:rsid w:val="00BF6B9E"/>
    <w:rsid w:val="00BF7A34"/>
    <w:rsid w:val="00C01E6F"/>
    <w:rsid w:val="00C0356A"/>
    <w:rsid w:val="00C046D2"/>
    <w:rsid w:val="00C04BB4"/>
    <w:rsid w:val="00C0550D"/>
    <w:rsid w:val="00C072FD"/>
    <w:rsid w:val="00C0731D"/>
    <w:rsid w:val="00C07747"/>
    <w:rsid w:val="00C1065C"/>
    <w:rsid w:val="00C116A0"/>
    <w:rsid w:val="00C12521"/>
    <w:rsid w:val="00C13342"/>
    <w:rsid w:val="00C142BB"/>
    <w:rsid w:val="00C14828"/>
    <w:rsid w:val="00C20969"/>
    <w:rsid w:val="00C22F64"/>
    <w:rsid w:val="00C236F4"/>
    <w:rsid w:val="00C26BF0"/>
    <w:rsid w:val="00C2712E"/>
    <w:rsid w:val="00C276EC"/>
    <w:rsid w:val="00C30C90"/>
    <w:rsid w:val="00C33F99"/>
    <w:rsid w:val="00C3574F"/>
    <w:rsid w:val="00C45C77"/>
    <w:rsid w:val="00C464FD"/>
    <w:rsid w:val="00C4677E"/>
    <w:rsid w:val="00C4776F"/>
    <w:rsid w:val="00C52904"/>
    <w:rsid w:val="00C53821"/>
    <w:rsid w:val="00C540BB"/>
    <w:rsid w:val="00C57A83"/>
    <w:rsid w:val="00C60FE5"/>
    <w:rsid w:val="00C61B8D"/>
    <w:rsid w:val="00C629FD"/>
    <w:rsid w:val="00C62AF4"/>
    <w:rsid w:val="00C62C7F"/>
    <w:rsid w:val="00C64985"/>
    <w:rsid w:val="00C67B72"/>
    <w:rsid w:val="00C7113B"/>
    <w:rsid w:val="00C74E6A"/>
    <w:rsid w:val="00C8097B"/>
    <w:rsid w:val="00C8158A"/>
    <w:rsid w:val="00C82127"/>
    <w:rsid w:val="00C82856"/>
    <w:rsid w:val="00C87D05"/>
    <w:rsid w:val="00C92A71"/>
    <w:rsid w:val="00C9547B"/>
    <w:rsid w:val="00C97F3E"/>
    <w:rsid w:val="00CA114A"/>
    <w:rsid w:val="00CA7B07"/>
    <w:rsid w:val="00CA7B78"/>
    <w:rsid w:val="00CB28F3"/>
    <w:rsid w:val="00CB4042"/>
    <w:rsid w:val="00CB76B9"/>
    <w:rsid w:val="00CB7B2A"/>
    <w:rsid w:val="00CC1FF6"/>
    <w:rsid w:val="00CC5AED"/>
    <w:rsid w:val="00CC5C82"/>
    <w:rsid w:val="00CC6538"/>
    <w:rsid w:val="00CC6939"/>
    <w:rsid w:val="00CD6078"/>
    <w:rsid w:val="00CD66A4"/>
    <w:rsid w:val="00CD729D"/>
    <w:rsid w:val="00CE13D1"/>
    <w:rsid w:val="00CE3722"/>
    <w:rsid w:val="00CE3D0F"/>
    <w:rsid w:val="00CE7236"/>
    <w:rsid w:val="00CF080E"/>
    <w:rsid w:val="00CF59BF"/>
    <w:rsid w:val="00CF6FD7"/>
    <w:rsid w:val="00D03CCD"/>
    <w:rsid w:val="00D05C43"/>
    <w:rsid w:val="00D06979"/>
    <w:rsid w:val="00D069EC"/>
    <w:rsid w:val="00D06F23"/>
    <w:rsid w:val="00D10BAB"/>
    <w:rsid w:val="00D14794"/>
    <w:rsid w:val="00D17099"/>
    <w:rsid w:val="00D1790C"/>
    <w:rsid w:val="00D20615"/>
    <w:rsid w:val="00D213CB"/>
    <w:rsid w:val="00D224FC"/>
    <w:rsid w:val="00D2422F"/>
    <w:rsid w:val="00D243CF"/>
    <w:rsid w:val="00D27E18"/>
    <w:rsid w:val="00D30187"/>
    <w:rsid w:val="00D3074A"/>
    <w:rsid w:val="00D32A17"/>
    <w:rsid w:val="00D33897"/>
    <w:rsid w:val="00D37592"/>
    <w:rsid w:val="00D37BE3"/>
    <w:rsid w:val="00D37CC9"/>
    <w:rsid w:val="00D41AF1"/>
    <w:rsid w:val="00D42C08"/>
    <w:rsid w:val="00D43970"/>
    <w:rsid w:val="00D47116"/>
    <w:rsid w:val="00D47EDA"/>
    <w:rsid w:val="00D50D92"/>
    <w:rsid w:val="00D57025"/>
    <w:rsid w:val="00D5775D"/>
    <w:rsid w:val="00D6215B"/>
    <w:rsid w:val="00D6393A"/>
    <w:rsid w:val="00D6E4A1"/>
    <w:rsid w:val="00D72115"/>
    <w:rsid w:val="00D775D6"/>
    <w:rsid w:val="00D8010C"/>
    <w:rsid w:val="00D840CC"/>
    <w:rsid w:val="00D848A0"/>
    <w:rsid w:val="00D849D2"/>
    <w:rsid w:val="00D8599D"/>
    <w:rsid w:val="00D91465"/>
    <w:rsid w:val="00D9453C"/>
    <w:rsid w:val="00D97592"/>
    <w:rsid w:val="00DA0598"/>
    <w:rsid w:val="00DA2F87"/>
    <w:rsid w:val="00DA309C"/>
    <w:rsid w:val="00DA57EC"/>
    <w:rsid w:val="00DA6B0A"/>
    <w:rsid w:val="00DA76B8"/>
    <w:rsid w:val="00DA7AF0"/>
    <w:rsid w:val="00DA7E38"/>
    <w:rsid w:val="00DB4896"/>
    <w:rsid w:val="00DB6C98"/>
    <w:rsid w:val="00DB79A8"/>
    <w:rsid w:val="00DB7C1A"/>
    <w:rsid w:val="00DC1BB9"/>
    <w:rsid w:val="00DC4530"/>
    <w:rsid w:val="00DC6D64"/>
    <w:rsid w:val="00DD0A4C"/>
    <w:rsid w:val="00DD2C7C"/>
    <w:rsid w:val="00DD4DAB"/>
    <w:rsid w:val="00DD5EAE"/>
    <w:rsid w:val="00DD60EE"/>
    <w:rsid w:val="00DD79EC"/>
    <w:rsid w:val="00DE4591"/>
    <w:rsid w:val="00DE561A"/>
    <w:rsid w:val="00DE5894"/>
    <w:rsid w:val="00DE7713"/>
    <w:rsid w:val="00DE7FC9"/>
    <w:rsid w:val="00DF0B00"/>
    <w:rsid w:val="00DF2EBD"/>
    <w:rsid w:val="00DF7872"/>
    <w:rsid w:val="00E00EFA"/>
    <w:rsid w:val="00E01659"/>
    <w:rsid w:val="00E02388"/>
    <w:rsid w:val="00E02ADF"/>
    <w:rsid w:val="00E043DC"/>
    <w:rsid w:val="00E07B6D"/>
    <w:rsid w:val="00E12E34"/>
    <w:rsid w:val="00E1377A"/>
    <w:rsid w:val="00E14F13"/>
    <w:rsid w:val="00E157E4"/>
    <w:rsid w:val="00E16BAB"/>
    <w:rsid w:val="00E21B96"/>
    <w:rsid w:val="00E26CCA"/>
    <w:rsid w:val="00E27097"/>
    <w:rsid w:val="00E308D8"/>
    <w:rsid w:val="00E33136"/>
    <w:rsid w:val="00E33F69"/>
    <w:rsid w:val="00E36244"/>
    <w:rsid w:val="00E37C1D"/>
    <w:rsid w:val="00E45576"/>
    <w:rsid w:val="00E46784"/>
    <w:rsid w:val="00E50346"/>
    <w:rsid w:val="00E5076F"/>
    <w:rsid w:val="00E52106"/>
    <w:rsid w:val="00E5557E"/>
    <w:rsid w:val="00E55DE0"/>
    <w:rsid w:val="00E56813"/>
    <w:rsid w:val="00E63A5A"/>
    <w:rsid w:val="00E6466C"/>
    <w:rsid w:val="00E66522"/>
    <w:rsid w:val="00E70C2E"/>
    <w:rsid w:val="00E74587"/>
    <w:rsid w:val="00E756D2"/>
    <w:rsid w:val="00E8120F"/>
    <w:rsid w:val="00E8231F"/>
    <w:rsid w:val="00E830D0"/>
    <w:rsid w:val="00E84B40"/>
    <w:rsid w:val="00E84E6F"/>
    <w:rsid w:val="00E8690A"/>
    <w:rsid w:val="00E87DDE"/>
    <w:rsid w:val="00E87EBD"/>
    <w:rsid w:val="00E90CCA"/>
    <w:rsid w:val="00E93110"/>
    <w:rsid w:val="00E96E5E"/>
    <w:rsid w:val="00EA15F0"/>
    <w:rsid w:val="00EA1F6D"/>
    <w:rsid w:val="00EA4AB8"/>
    <w:rsid w:val="00EA534E"/>
    <w:rsid w:val="00EA6693"/>
    <w:rsid w:val="00EA69A2"/>
    <w:rsid w:val="00EA6CA8"/>
    <w:rsid w:val="00EB0045"/>
    <w:rsid w:val="00EB123E"/>
    <w:rsid w:val="00EB2B10"/>
    <w:rsid w:val="00EB2EC5"/>
    <w:rsid w:val="00EB5E30"/>
    <w:rsid w:val="00EB7B4D"/>
    <w:rsid w:val="00EC3FEA"/>
    <w:rsid w:val="00EC615F"/>
    <w:rsid w:val="00EC64DE"/>
    <w:rsid w:val="00EC68DE"/>
    <w:rsid w:val="00ED2344"/>
    <w:rsid w:val="00ED29BF"/>
    <w:rsid w:val="00ED29E7"/>
    <w:rsid w:val="00ED4E12"/>
    <w:rsid w:val="00ED6CA4"/>
    <w:rsid w:val="00ED7780"/>
    <w:rsid w:val="00EE05CE"/>
    <w:rsid w:val="00EE3819"/>
    <w:rsid w:val="00EE5D94"/>
    <w:rsid w:val="00EF34BB"/>
    <w:rsid w:val="00EF5FDC"/>
    <w:rsid w:val="00EF61C4"/>
    <w:rsid w:val="00EF7E53"/>
    <w:rsid w:val="00EF7F94"/>
    <w:rsid w:val="00F00938"/>
    <w:rsid w:val="00F02488"/>
    <w:rsid w:val="00F03817"/>
    <w:rsid w:val="00F06CDB"/>
    <w:rsid w:val="00F1155F"/>
    <w:rsid w:val="00F15C54"/>
    <w:rsid w:val="00F25769"/>
    <w:rsid w:val="00F2588B"/>
    <w:rsid w:val="00F33C6B"/>
    <w:rsid w:val="00F34496"/>
    <w:rsid w:val="00F3473B"/>
    <w:rsid w:val="00F3489E"/>
    <w:rsid w:val="00F40964"/>
    <w:rsid w:val="00F43540"/>
    <w:rsid w:val="00F461C4"/>
    <w:rsid w:val="00F47800"/>
    <w:rsid w:val="00F47E73"/>
    <w:rsid w:val="00F51095"/>
    <w:rsid w:val="00F55BB7"/>
    <w:rsid w:val="00F6010E"/>
    <w:rsid w:val="00F61270"/>
    <w:rsid w:val="00F624A1"/>
    <w:rsid w:val="00F63D3B"/>
    <w:rsid w:val="00F65030"/>
    <w:rsid w:val="00F6641B"/>
    <w:rsid w:val="00F67869"/>
    <w:rsid w:val="00F7196D"/>
    <w:rsid w:val="00F72E00"/>
    <w:rsid w:val="00F73291"/>
    <w:rsid w:val="00F7503F"/>
    <w:rsid w:val="00F87812"/>
    <w:rsid w:val="00F87CF7"/>
    <w:rsid w:val="00F90124"/>
    <w:rsid w:val="00F90412"/>
    <w:rsid w:val="00F9479E"/>
    <w:rsid w:val="00F9500D"/>
    <w:rsid w:val="00F975A6"/>
    <w:rsid w:val="00FA15BF"/>
    <w:rsid w:val="00FA1C68"/>
    <w:rsid w:val="00FA32A9"/>
    <w:rsid w:val="00FA77F7"/>
    <w:rsid w:val="00FB0256"/>
    <w:rsid w:val="00FB0B67"/>
    <w:rsid w:val="00FB0FB2"/>
    <w:rsid w:val="00FB1D4A"/>
    <w:rsid w:val="00FB4924"/>
    <w:rsid w:val="00FB7FAF"/>
    <w:rsid w:val="00FC2BDF"/>
    <w:rsid w:val="00FC51DA"/>
    <w:rsid w:val="00FC6B3F"/>
    <w:rsid w:val="00FC6EAA"/>
    <w:rsid w:val="00FC757E"/>
    <w:rsid w:val="00FD1C7D"/>
    <w:rsid w:val="00FD2703"/>
    <w:rsid w:val="00FD7776"/>
    <w:rsid w:val="00FE50D3"/>
    <w:rsid w:val="00FF0611"/>
    <w:rsid w:val="00FF1B1B"/>
    <w:rsid w:val="00FF25FB"/>
    <w:rsid w:val="00FF2F78"/>
    <w:rsid w:val="00FF478C"/>
    <w:rsid w:val="00FF4CC5"/>
    <w:rsid w:val="00FF5B2E"/>
    <w:rsid w:val="00FF6443"/>
    <w:rsid w:val="011DA327"/>
    <w:rsid w:val="016CE1A1"/>
    <w:rsid w:val="0181D08F"/>
    <w:rsid w:val="0185537E"/>
    <w:rsid w:val="01A5FCBF"/>
    <w:rsid w:val="01A6B886"/>
    <w:rsid w:val="01B6A8AA"/>
    <w:rsid w:val="01C0CD9F"/>
    <w:rsid w:val="01CDBBEB"/>
    <w:rsid w:val="01EC08DB"/>
    <w:rsid w:val="0203F197"/>
    <w:rsid w:val="023D1451"/>
    <w:rsid w:val="02B41D1F"/>
    <w:rsid w:val="02BA61EB"/>
    <w:rsid w:val="02F376BD"/>
    <w:rsid w:val="030BE2A0"/>
    <w:rsid w:val="0310A903"/>
    <w:rsid w:val="0334DEC7"/>
    <w:rsid w:val="0344B115"/>
    <w:rsid w:val="037EBC1B"/>
    <w:rsid w:val="037F6F33"/>
    <w:rsid w:val="0384FD4B"/>
    <w:rsid w:val="03DE4A18"/>
    <w:rsid w:val="040903D6"/>
    <w:rsid w:val="042C0A81"/>
    <w:rsid w:val="043E6E04"/>
    <w:rsid w:val="047B879B"/>
    <w:rsid w:val="0480161C"/>
    <w:rsid w:val="0498F797"/>
    <w:rsid w:val="049A7BA2"/>
    <w:rsid w:val="04B01A7E"/>
    <w:rsid w:val="04E91C11"/>
    <w:rsid w:val="04F5D480"/>
    <w:rsid w:val="05101295"/>
    <w:rsid w:val="051993EB"/>
    <w:rsid w:val="054ED237"/>
    <w:rsid w:val="058829B1"/>
    <w:rsid w:val="05AE5564"/>
    <w:rsid w:val="05B606BF"/>
    <w:rsid w:val="05DBA6B8"/>
    <w:rsid w:val="05F126EA"/>
    <w:rsid w:val="05FC2BDA"/>
    <w:rsid w:val="0604535B"/>
    <w:rsid w:val="061EB1EC"/>
    <w:rsid w:val="06579794"/>
    <w:rsid w:val="065958FC"/>
    <w:rsid w:val="065EA68E"/>
    <w:rsid w:val="068359F0"/>
    <w:rsid w:val="0687C511"/>
    <w:rsid w:val="06B44B3B"/>
    <w:rsid w:val="06D222C7"/>
    <w:rsid w:val="06DEC268"/>
    <w:rsid w:val="07283C3C"/>
    <w:rsid w:val="0729535B"/>
    <w:rsid w:val="0743C382"/>
    <w:rsid w:val="074E15EE"/>
    <w:rsid w:val="078E6F86"/>
    <w:rsid w:val="079CC79C"/>
    <w:rsid w:val="07CDA141"/>
    <w:rsid w:val="080A8AE2"/>
    <w:rsid w:val="08516773"/>
    <w:rsid w:val="089D4702"/>
    <w:rsid w:val="089DF800"/>
    <w:rsid w:val="08A6F9D5"/>
    <w:rsid w:val="08D19961"/>
    <w:rsid w:val="091D201C"/>
    <w:rsid w:val="092208B0"/>
    <w:rsid w:val="0930675F"/>
    <w:rsid w:val="09333E24"/>
    <w:rsid w:val="093C70F6"/>
    <w:rsid w:val="09933D32"/>
    <w:rsid w:val="09A110A1"/>
    <w:rsid w:val="09B5B735"/>
    <w:rsid w:val="09FB50D0"/>
    <w:rsid w:val="0A0A8405"/>
    <w:rsid w:val="0A17FE3A"/>
    <w:rsid w:val="0A38E9CE"/>
    <w:rsid w:val="0A55902B"/>
    <w:rsid w:val="0A692C19"/>
    <w:rsid w:val="0A88F668"/>
    <w:rsid w:val="0AAC690A"/>
    <w:rsid w:val="0AAE1910"/>
    <w:rsid w:val="0B0B991E"/>
    <w:rsid w:val="0B67D854"/>
    <w:rsid w:val="0B76B07A"/>
    <w:rsid w:val="0B8B8358"/>
    <w:rsid w:val="0B8D1C78"/>
    <w:rsid w:val="0B947D89"/>
    <w:rsid w:val="0B97C833"/>
    <w:rsid w:val="0BE4B8E4"/>
    <w:rsid w:val="0C212A0C"/>
    <w:rsid w:val="0C4090C3"/>
    <w:rsid w:val="0C4E701E"/>
    <w:rsid w:val="0C7D070D"/>
    <w:rsid w:val="0C93243B"/>
    <w:rsid w:val="0C9B8AC4"/>
    <w:rsid w:val="0CA721C2"/>
    <w:rsid w:val="0CA873E9"/>
    <w:rsid w:val="0CB2C0E4"/>
    <w:rsid w:val="0CC17378"/>
    <w:rsid w:val="0CC9AA12"/>
    <w:rsid w:val="0CCC78C5"/>
    <w:rsid w:val="0CEC5542"/>
    <w:rsid w:val="0CFD4C53"/>
    <w:rsid w:val="0D1F54FB"/>
    <w:rsid w:val="0D2DAAFC"/>
    <w:rsid w:val="0D54C23C"/>
    <w:rsid w:val="0D56FF8F"/>
    <w:rsid w:val="0D5EDDC3"/>
    <w:rsid w:val="0D9B17EB"/>
    <w:rsid w:val="0DA6CBFC"/>
    <w:rsid w:val="0DE48B5D"/>
    <w:rsid w:val="0E13921A"/>
    <w:rsid w:val="0E1AD6D8"/>
    <w:rsid w:val="0E2F8A51"/>
    <w:rsid w:val="0E42D064"/>
    <w:rsid w:val="0E5458F0"/>
    <w:rsid w:val="0E85F2AB"/>
    <w:rsid w:val="0E8D586D"/>
    <w:rsid w:val="0E93A583"/>
    <w:rsid w:val="0EBD4A10"/>
    <w:rsid w:val="0ECF5BBD"/>
    <w:rsid w:val="0ED19356"/>
    <w:rsid w:val="0ED2389D"/>
    <w:rsid w:val="0F145FC1"/>
    <w:rsid w:val="0F2D0D29"/>
    <w:rsid w:val="0F326D37"/>
    <w:rsid w:val="0F331911"/>
    <w:rsid w:val="0F7A05FA"/>
    <w:rsid w:val="0F97AC3C"/>
    <w:rsid w:val="0FA15134"/>
    <w:rsid w:val="0FCFE3C6"/>
    <w:rsid w:val="0FDA3EAE"/>
    <w:rsid w:val="102C6C04"/>
    <w:rsid w:val="1042BB56"/>
    <w:rsid w:val="10A594D2"/>
    <w:rsid w:val="10C8C5C1"/>
    <w:rsid w:val="10D7252D"/>
    <w:rsid w:val="10E0031E"/>
    <w:rsid w:val="10EE1FE3"/>
    <w:rsid w:val="112DD484"/>
    <w:rsid w:val="116A10C5"/>
    <w:rsid w:val="119623A0"/>
    <w:rsid w:val="119C6D38"/>
    <w:rsid w:val="11B4C372"/>
    <w:rsid w:val="12103392"/>
    <w:rsid w:val="1230944D"/>
    <w:rsid w:val="12B46DB6"/>
    <w:rsid w:val="12E74D3F"/>
    <w:rsid w:val="12EE14E9"/>
    <w:rsid w:val="12FB0B16"/>
    <w:rsid w:val="1311CB74"/>
    <w:rsid w:val="133EE069"/>
    <w:rsid w:val="1344ACEE"/>
    <w:rsid w:val="13478214"/>
    <w:rsid w:val="136CAA7D"/>
    <w:rsid w:val="13ADE61A"/>
    <w:rsid w:val="13B44DC2"/>
    <w:rsid w:val="140564AA"/>
    <w:rsid w:val="1424BBA8"/>
    <w:rsid w:val="14310DC4"/>
    <w:rsid w:val="14591541"/>
    <w:rsid w:val="146B9E92"/>
    <w:rsid w:val="1472D9EE"/>
    <w:rsid w:val="148D20C2"/>
    <w:rsid w:val="1491D208"/>
    <w:rsid w:val="149A8A14"/>
    <w:rsid w:val="14A174B8"/>
    <w:rsid w:val="14AE1E7F"/>
    <w:rsid w:val="14B97C8D"/>
    <w:rsid w:val="14DA033F"/>
    <w:rsid w:val="14DED214"/>
    <w:rsid w:val="14FC92D3"/>
    <w:rsid w:val="151123E3"/>
    <w:rsid w:val="1530B156"/>
    <w:rsid w:val="1533B82F"/>
    <w:rsid w:val="15382F22"/>
    <w:rsid w:val="153B30D2"/>
    <w:rsid w:val="155CA81A"/>
    <w:rsid w:val="1572DB51"/>
    <w:rsid w:val="158D38BE"/>
    <w:rsid w:val="1601D580"/>
    <w:rsid w:val="1606C7E7"/>
    <w:rsid w:val="162A5578"/>
    <w:rsid w:val="164D15C9"/>
    <w:rsid w:val="16770B09"/>
    <w:rsid w:val="16876857"/>
    <w:rsid w:val="16B4A6CA"/>
    <w:rsid w:val="1733A0D4"/>
    <w:rsid w:val="178B23B2"/>
    <w:rsid w:val="179282A9"/>
    <w:rsid w:val="17CBB3B1"/>
    <w:rsid w:val="17F73D3F"/>
    <w:rsid w:val="1820781B"/>
    <w:rsid w:val="185B0CFB"/>
    <w:rsid w:val="1869FA01"/>
    <w:rsid w:val="187010E1"/>
    <w:rsid w:val="18A123A5"/>
    <w:rsid w:val="18AF6053"/>
    <w:rsid w:val="18BE29F1"/>
    <w:rsid w:val="18DF9A28"/>
    <w:rsid w:val="193127B8"/>
    <w:rsid w:val="1932F7D5"/>
    <w:rsid w:val="19450131"/>
    <w:rsid w:val="195FCDB0"/>
    <w:rsid w:val="19869F31"/>
    <w:rsid w:val="19CEC800"/>
    <w:rsid w:val="19DB28C0"/>
    <w:rsid w:val="19ED33E4"/>
    <w:rsid w:val="19F24D34"/>
    <w:rsid w:val="1A10BA03"/>
    <w:rsid w:val="1AD0CF61"/>
    <w:rsid w:val="1AE26702"/>
    <w:rsid w:val="1B040E43"/>
    <w:rsid w:val="1B37ED0D"/>
    <w:rsid w:val="1B458152"/>
    <w:rsid w:val="1B5B48CA"/>
    <w:rsid w:val="1B94CC06"/>
    <w:rsid w:val="1BD9F4E0"/>
    <w:rsid w:val="1BFFDCD2"/>
    <w:rsid w:val="1C043071"/>
    <w:rsid w:val="1C3A50E4"/>
    <w:rsid w:val="1C79DABA"/>
    <w:rsid w:val="1C9315D2"/>
    <w:rsid w:val="1C949AE5"/>
    <w:rsid w:val="1CEF250A"/>
    <w:rsid w:val="1CF8E32A"/>
    <w:rsid w:val="1D0D841B"/>
    <w:rsid w:val="1D118AF4"/>
    <w:rsid w:val="1D119C78"/>
    <w:rsid w:val="1D30136D"/>
    <w:rsid w:val="1D33E475"/>
    <w:rsid w:val="1D3B5019"/>
    <w:rsid w:val="1D5E4BC3"/>
    <w:rsid w:val="1D6CA75A"/>
    <w:rsid w:val="1D707610"/>
    <w:rsid w:val="1DBABC31"/>
    <w:rsid w:val="1E273875"/>
    <w:rsid w:val="1E28B4EF"/>
    <w:rsid w:val="1E8BF4B2"/>
    <w:rsid w:val="1EA92EB0"/>
    <w:rsid w:val="1EC94A78"/>
    <w:rsid w:val="1EE2EC1D"/>
    <w:rsid w:val="1F39FC0D"/>
    <w:rsid w:val="1F43A358"/>
    <w:rsid w:val="1FB46351"/>
    <w:rsid w:val="1FCFC304"/>
    <w:rsid w:val="1FD81B0E"/>
    <w:rsid w:val="1FEB0EF3"/>
    <w:rsid w:val="1FF2250E"/>
    <w:rsid w:val="2049496B"/>
    <w:rsid w:val="20525D9D"/>
    <w:rsid w:val="205261E2"/>
    <w:rsid w:val="2074E345"/>
    <w:rsid w:val="20795757"/>
    <w:rsid w:val="2086F41F"/>
    <w:rsid w:val="2092D30D"/>
    <w:rsid w:val="20A0D755"/>
    <w:rsid w:val="20C65ED3"/>
    <w:rsid w:val="20ECB75F"/>
    <w:rsid w:val="20FF43CB"/>
    <w:rsid w:val="2101C065"/>
    <w:rsid w:val="21068B39"/>
    <w:rsid w:val="211DF2F8"/>
    <w:rsid w:val="211F6DB1"/>
    <w:rsid w:val="213FF8F3"/>
    <w:rsid w:val="214D9A5D"/>
    <w:rsid w:val="21BFB095"/>
    <w:rsid w:val="21F1CFB5"/>
    <w:rsid w:val="21FF1B88"/>
    <w:rsid w:val="22168D4E"/>
    <w:rsid w:val="22288D97"/>
    <w:rsid w:val="22321346"/>
    <w:rsid w:val="2237E80C"/>
    <w:rsid w:val="223C6CE6"/>
    <w:rsid w:val="228F5D39"/>
    <w:rsid w:val="22D1F891"/>
    <w:rsid w:val="22E43D01"/>
    <w:rsid w:val="22F0C1AC"/>
    <w:rsid w:val="22FD2627"/>
    <w:rsid w:val="2301AA09"/>
    <w:rsid w:val="2305B155"/>
    <w:rsid w:val="233AA096"/>
    <w:rsid w:val="2342FF81"/>
    <w:rsid w:val="23447D9B"/>
    <w:rsid w:val="2366DC57"/>
    <w:rsid w:val="239E1339"/>
    <w:rsid w:val="23CCC763"/>
    <w:rsid w:val="23CE214C"/>
    <w:rsid w:val="23ED2323"/>
    <w:rsid w:val="23FB46BE"/>
    <w:rsid w:val="241DE075"/>
    <w:rsid w:val="242BF901"/>
    <w:rsid w:val="24661184"/>
    <w:rsid w:val="2499AAC9"/>
    <w:rsid w:val="249FB813"/>
    <w:rsid w:val="24D04748"/>
    <w:rsid w:val="24E63A77"/>
    <w:rsid w:val="24F84254"/>
    <w:rsid w:val="250F4FE3"/>
    <w:rsid w:val="253071CA"/>
    <w:rsid w:val="259F1E2B"/>
    <w:rsid w:val="25C3494F"/>
    <w:rsid w:val="25C5F276"/>
    <w:rsid w:val="25D9C84B"/>
    <w:rsid w:val="2604B909"/>
    <w:rsid w:val="260E1938"/>
    <w:rsid w:val="264F1AF9"/>
    <w:rsid w:val="26614996"/>
    <w:rsid w:val="26A6ACED"/>
    <w:rsid w:val="26AF6672"/>
    <w:rsid w:val="271A46D6"/>
    <w:rsid w:val="272476E3"/>
    <w:rsid w:val="273AF8E5"/>
    <w:rsid w:val="27741DAE"/>
    <w:rsid w:val="2775F145"/>
    <w:rsid w:val="2791DB41"/>
    <w:rsid w:val="281300AC"/>
    <w:rsid w:val="28170B36"/>
    <w:rsid w:val="2839160B"/>
    <w:rsid w:val="285EF613"/>
    <w:rsid w:val="28777CD7"/>
    <w:rsid w:val="28923C1D"/>
    <w:rsid w:val="28B222E0"/>
    <w:rsid w:val="28BEF03E"/>
    <w:rsid w:val="2936F787"/>
    <w:rsid w:val="29620189"/>
    <w:rsid w:val="2975BD52"/>
    <w:rsid w:val="297A08EF"/>
    <w:rsid w:val="298E1B65"/>
    <w:rsid w:val="299B6665"/>
    <w:rsid w:val="29C5C617"/>
    <w:rsid w:val="29D05732"/>
    <w:rsid w:val="29D78CD6"/>
    <w:rsid w:val="29FBBD3F"/>
    <w:rsid w:val="2A0323B4"/>
    <w:rsid w:val="2A2B0F6C"/>
    <w:rsid w:val="2A34059D"/>
    <w:rsid w:val="2A3C2239"/>
    <w:rsid w:val="2A43A7E6"/>
    <w:rsid w:val="2A6F3E8B"/>
    <w:rsid w:val="2ABCFD47"/>
    <w:rsid w:val="2AE8BFDB"/>
    <w:rsid w:val="2AF207CA"/>
    <w:rsid w:val="2AF9DC97"/>
    <w:rsid w:val="2B1E8326"/>
    <w:rsid w:val="2B2369CC"/>
    <w:rsid w:val="2B25D7DB"/>
    <w:rsid w:val="2BB4E854"/>
    <w:rsid w:val="2BBA32EE"/>
    <w:rsid w:val="2BD6F517"/>
    <w:rsid w:val="2BEBC6C3"/>
    <w:rsid w:val="2C095D4A"/>
    <w:rsid w:val="2C2E737E"/>
    <w:rsid w:val="2C2EEA6F"/>
    <w:rsid w:val="2C3777B2"/>
    <w:rsid w:val="2C69CABB"/>
    <w:rsid w:val="2C716927"/>
    <w:rsid w:val="2C8ACC09"/>
    <w:rsid w:val="2C979EA4"/>
    <w:rsid w:val="2C9DA489"/>
    <w:rsid w:val="2CAF16A9"/>
    <w:rsid w:val="2CEC9269"/>
    <w:rsid w:val="2D0C723F"/>
    <w:rsid w:val="2D1A6EF9"/>
    <w:rsid w:val="2D2E5175"/>
    <w:rsid w:val="2D34B64A"/>
    <w:rsid w:val="2D6D0DD0"/>
    <w:rsid w:val="2E10ED64"/>
    <w:rsid w:val="2E448F06"/>
    <w:rsid w:val="2E4B258B"/>
    <w:rsid w:val="2E5D72EF"/>
    <w:rsid w:val="2E7DC50E"/>
    <w:rsid w:val="2E9393C9"/>
    <w:rsid w:val="2EB06535"/>
    <w:rsid w:val="2ECD202E"/>
    <w:rsid w:val="2ED07390"/>
    <w:rsid w:val="2ED5901B"/>
    <w:rsid w:val="2F18BD06"/>
    <w:rsid w:val="2F324CC6"/>
    <w:rsid w:val="2F6777F1"/>
    <w:rsid w:val="2F83B4D4"/>
    <w:rsid w:val="2F86FA25"/>
    <w:rsid w:val="2FF1D521"/>
    <w:rsid w:val="2FFD180D"/>
    <w:rsid w:val="301222D8"/>
    <w:rsid w:val="30185A66"/>
    <w:rsid w:val="3038F94B"/>
    <w:rsid w:val="3042DB92"/>
    <w:rsid w:val="3085971F"/>
    <w:rsid w:val="30987049"/>
    <w:rsid w:val="30BF3E52"/>
    <w:rsid w:val="30F833C8"/>
    <w:rsid w:val="3104A896"/>
    <w:rsid w:val="3112B3A3"/>
    <w:rsid w:val="311666BE"/>
    <w:rsid w:val="312A2972"/>
    <w:rsid w:val="312D2D43"/>
    <w:rsid w:val="31344301"/>
    <w:rsid w:val="314B14F3"/>
    <w:rsid w:val="3150F2FA"/>
    <w:rsid w:val="3159F5D3"/>
    <w:rsid w:val="316FCA02"/>
    <w:rsid w:val="3171BA91"/>
    <w:rsid w:val="317423B2"/>
    <w:rsid w:val="31E15479"/>
    <w:rsid w:val="31E5AC89"/>
    <w:rsid w:val="31F839CD"/>
    <w:rsid w:val="32182717"/>
    <w:rsid w:val="3248FB6E"/>
    <w:rsid w:val="32699166"/>
    <w:rsid w:val="32777F83"/>
    <w:rsid w:val="3297DA5F"/>
    <w:rsid w:val="32AA66B4"/>
    <w:rsid w:val="32AAAD02"/>
    <w:rsid w:val="32B2F89C"/>
    <w:rsid w:val="32B3337E"/>
    <w:rsid w:val="32B8894A"/>
    <w:rsid w:val="32B8E0B5"/>
    <w:rsid w:val="32D80650"/>
    <w:rsid w:val="32E74BF7"/>
    <w:rsid w:val="331DD838"/>
    <w:rsid w:val="33205A7D"/>
    <w:rsid w:val="33503E4F"/>
    <w:rsid w:val="33683C9A"/>
    <w:rsid w:val="337696F5"/>
    <w:rsid w:val="339A5B7E"/>
    <w:rsid w:val="33D39CAB"/>
    <w:rsid w:val="33DC96F0"/>
    <w:rsid w:val="33E150DB"/>
    <w:rsid w:val="343E8DEE"/>
    <w:rsid w:val="3480ECEE"/>
    <w:rsid w:val="34857A82"/>
    <w:rsid w:val="34A45231"/>
    <w:rsid w:val="34F3392D"/>
    <w:rsid w:val="3510A40A"/>
    <w:rsid w:val="356BA4E4"/>
    <w:rsid w:val="35794514"/>
    <w:rsid w:val="35913391"/>
    <w:rsid w:val="359A2676"/>
    <w:rsid w:val="35BE02CA"/>
    <w:rsid w:val="35C9DDF0"/>
    <w:rsid w:val="35F98351"/>
    <w:rsid w:val="360BA2C9"/>
    <w:rsid w:val="363C84BC"/>
    <w:rsid w:val="363ED48D"/>
    <w:rsid w:val="367DF1A5"/>
    <w:rsid w:val="36870EAE"/>
    <w:rsid w:val="36949848"/>
    <w:rsid w:val="36A69DCE"/>
    <w:rsid w:val="36B04E0B"/>
    <w:rsid w:val="36FAC00D"/>
    <w:rsid w:val="371CAE52"/>
    <w:rsid w:val="373E8764"/>
    <w:rsid w:val="37A9A35A"/>
    <w:rsid w:val="37FB23DF"/>
    <w:rsid w:val="381C6CA6"/>
    <w:rsid w:val="383EBA40"/>
    <w:rsid w:val="38456CA8"/>
    <w:rsid w:val="3850BBE3"/>
    <w:rsid w:val="38724706"/>
    <w:rsid w:val="38840EC4"/>
    <w:rsid w:val="38AFEA4F"/>
    <w:rsid w:val="38B5D7B8"/>
    <w:rsid w:val="38C076A1"/>
    <w:rsid w:val="38CE7631"/>
    <w:rsid w:val="38F59A76"/>
    <w:rsid w:val="38FFEB67"/>
    <w:rsid w:val="3912E9A0"/>
    <w:rsid w:val="39205598"/>
    <w:rsid w:val="3922BCBE"/>
    <w:rsid w:val="39231007"/>
    <w:rsid w:val="392E22B4"/>
    <w:rsid w:val="3940A6DC"/>
    <w:rsid w:val="394E0FBA"/>
    <w:rsid w:val="3976A55D"/>
    <w:rsid w:val="3979040C"/>
    <w:rsid w:val="397A5C3F"/>
    <w:rsid w:val="39913C78"/>
    <w:rsid w:val="399856D8"/>
    <w:rsid w:val="39B510F0"/>
    <w:rsid w:val="39B807A3"/>
    <w:rsid w:val="3A07C523"/>
    <w:rsid w:val="3A10DBBC"/>
    <w:rsid w:val="3A209900"/>
    <w:rsid w:val="3A41C59C"/>
    <w:rsid w:val="3A4795E3"/>
    <w:rsid w:val="3A53E817"/>
    <w:rsid w:val="3A7074C7"/>
    <w:rsid w:val="3A72A5A5"/>
    <w:rsid w:val="3A9F3EEA"/>
    <w:rsid w:val="3AFE6505"/>
    <w:rsid w:val="3B184F08"/>
    <w:rsid w:val="3B1858E5"/>
    <w:rsid w:val="3B5AE18E"/>
    <w:rsid w:val="3B66CEAA"/>
    <w:rsid w:val="3B6B7868"/>
    <w:rsid w:val="3B7576F8"/>
    <w:rsid w:val="3B89C125"/>
    <w:rsid w:val="3BB72CA1"/>
    <w:rsid w:val="3BC6CB54"/>
    <w:rsid w:val="3BCC89FC"/>
    <w:rsid w:val="3C05F5A3"/>
    <w:rsid w:val="3C0837B2"/>
    <w:rsid w:val="3C169DB2"/>
    <w:rsid w:val="3C73D993"/>
    <w:rsid w:val="3C75B7D0"/>
    <w:rsid w:val="3CB9E0C2"/>
    <w:rsid w:val="3CBB4588"/>
    <w:rsid w:val="3D30BD37"/>
    <w:rsid w:val="3D7570EA"/>
    <w:rsid w:val="3D925047"/>
    <w:rsid w:val="3DBAEB58"/>
    <w:rsid w:val="3DF479EE"/>
    <w:rsid w:val="3E0785C7"/>
    <w:rsid w:val="3E140C72"/>
    <w:rsid w:val="3E1D18BE"/>
    <w:rsid w:val="3E2469B8"/>
    <w:rsid w:val="3E251655"/>
    <w:rsid w:val="3E3D6D07"/>
    <w:rsid w:val="3E50102B"/>
    <w:rsid w:val="3E780A0C"/>
    <w:rsid w:val="3E7DBA68"/>
    <w:rsid w:val="3EA3D778"/>
    <w:rsid w:val="3EAF1CC8"/>
    <w:rsid w:val="3EB159AA"/>
    <w:rsid w:val="3EC186A6"/>
    <w:rsid w:val="3ED83E11"/>
    <w:rsid w:val="3F132707"/>
    <w:rsid w:val="3F531369"/>
    <w:rsid w:val="3F5DE234"/>
    <w:rsid w:val="3F8C343B"/>
    <w:rsid w:val="3F8F33FA"/>
    <w:rsid w:val="3FB0E80E"/>
    <w:rsid w:val="3FBB6B4A"/>
    <w:rsid w:val="3FCFE3D8"/>
    <w:rsid w:val="3FF30B5D"/>
    <w:rsid w:val="3FF9599E"/>
    <w:rsid w:val="4033E378"/>
    <w:rsid w:val="40446B7D"/>
    <w:rsid w:val="40A5AF9D"/>
    <w:rsid w:val="40C1F2FD"/>
    <w:rsid w:val="40C581E0"/>
    <w:rsid w:val="40DDD3F8"/>
    <w:rsid w:val="410E813A"/>
    <w:rsid w:val="4126A6F7"/>
    <w:rsid w:val="41387B5E"/>
    <w:rsid w:val="413B9F2F"/>
    <w:rsid w:val="414D349E"/>
    <w:rsid w:val="415639DF"/>
    <w:rsid w:val="418A5E3E"/>
    <w:rsid w:val="41CE8873"/>
    <w:rsid w:val="41D5D055"/>
    <w:rsid w:val="41E2736A"/>
    <w:rsid w:val="41E578F1"/>
    <w:rsid w:val="4214587D"/>
    <w:rsid w:val="4229D538"/>
    <w:rsid w:val="42404EFB"/>
    <w:rsid w:val="424F84E4"/>
    <w:rsid w:val="4279856A"/>
    <w:rsid w:val="42846004"/>
    <w:rsid w:val="42A763F2"/>
    <w:rsid w:val="42AB3171"/>
    <w:rsid w:val="42C083C7"/>
    <w:rsid w:val="42CE0703"/>
    <w:rsid w:val="42D932AF"/>
    <w:rsid w:val="42F4022D"/>
    <w:rsid w:val="432B307F"/>
    <w:rsid w:val="433146A4"/>
    <w:rsid w:val="4351CE1E"/>
    <w:rsid w:val="438C30B5"/>
    <w:rsid w:val="4394B8FA"/>
    <w:rsid w:val="43A03F7C"/>
    <w:rsid w:val="43C7C814"/>
    <w:rsid w:val="43DFF8BD"/>
    <w:rsid w:val="43F08C45"/>
    <w:rsid w:val="44238733"/>
    <w:rsid w:val="44318D74"/>
    <w:rsid w:val="44388FE7"/>
    <w:rsid w:val="44555BA2"/>
    <w:rsid w:val="4477A11D"/>
    <w:rsid w:val="44A04AB2"/>
    <w:rsid w:val="44AE5522"/>
    <w:rsid w:val="44DE3C46"/>
    <w:rsid w:val="45002B08"/>
    <w:rsid w:val="4524E566"/>
    <w:rsid w:val="4535EA3F"/>
    <w:rsid w:val="455F54A9"/>
    <w:rsid w:val="45894A95"/>
    <w:rsid w:val="45BA9E4D"/>
    <w:rsid w:val="45F1581F"/>
    <w:rsid w:val="45FBFE13"/>
    <w:rsid w:val="460FCF29"/>
    <w:rsid w:val="46256A32"/>
    <w:rsid w:val="4633CED4"/>
    <w:rsid w:val="46452840"/>
    <w:rsid w:val="467C3D4B"/>
    <w:rsid w:val="46B90BEB"/>
    <w:rsid w:val="46CBE810"/>
    <w:rsid w:val="46E5BDE1"/>
    <w:rsid w:val="46FF15DA"/>
    <w:rsid w:val="4704C4B4"/>
    <w:rsid w:val="4706B1BC"/>
    <w:rsid w:val="47735F66"/>
    <w:rsid w:val="47AF4084"/>
    <w:rsid w:val="47C16808"/>
    <w:rsid w:val="47D4205B"/>
    <w:rsid w:val="4866E752"/>
    <w:rsid w:val="4868D4E4"/>
    <w:rsid w:val="486B4AFE"/>
    <w:rsid w:val="489E0C63"/>
    <w:rsid w:val="49106C81"/>
    <w:rsid w:val="492117BE"/>
    <w:rsid w:val="493C72C9"/>
    <w:rsid w:val="494CC0B6"/>
    <w:rsid w:val="494CCE67"/>
    <w:rsid w:val="4974DB39"/>
    <w:rsid w:val="497C14EC"/>
    <w:rsid w:val="497D274F"/>
    <w:rsid w:val="49831AB1"/>
    <w:rsid w:val="498F335C"/>
    <w:rsid w:val="49D5C36E"/>
    <w:rsid w:val="49DD1934"/>
    <w:rsid w:val="4A0A2319"/>
    <w:rsid w:val="4A14538C"/>
    <w:rsid w:val="4A1E3A55"/>
    <w:rsid w:val="4A3CFB5A"/>
    <w:rsid w:val="4A865AA4"/>
    <w:rsid w:val="4A89F699"/>
    <w:rsid w:val="4A988AEE"/>
    <w:rsid w:val="4AC6EC9A"/>
    <w:rsid w:val="4ADF1CF8"/>
    <w:rsid w:val="4ADFCFD8"/>
    <w:rsid w:val="4AE88FE9"/>
    <w:rsid w:val="4B280C42"/>
    <w:rsid w:val="4B75C01F"/>
    <w:rsid w:val="4B8B6E52"/>
    <w:rsid w:val="4B9DC4F6"/>
    <w:rsid w:val="4BB178ED"/>
    <w:rsid w:val="4BD8008A"/>
    <w:rsid w:val="4C0D7620"/>
    <w:rsid w:val="4C0DC3DE"/>
    <w:rsid w:val="4C0EAA2B"/>
    <w:rsid w:val="4CEDBBAF"/>
    <w:rsid w:val="4D2E33F9"/>
    <w:rsid w:val="4D5DC9BE"/>
    <w:rsid w:val="4D74AEF0"/>
    <w:rsid w:val="4D7F48BB"/>
    <w:rsid w:val="4DC763CC"/>
    <w:rsid w:val="4DC8701E"/>
    <w:rsid w:val="4DE8F92E"/>
    <w:rsid w:val="4DFCFF65"/>
    <w:rsid w:val="4E24B4A3"/>
    <w:rsid w:val="4E2B464E"/>
    <w:rsid w:val="4E5413C9"/>
    <w:rsid w:val="4E7EBF53"/>
    <w:rsid w:val="4E91E281"/>
    <w:rsid w:val="4EA16122"/>
    <w:rsid w:val="4ECB3EDD"/>
    <w:rsid w:val="4ECBCFA0"/>
    <w:rsid w:val="4F11139C"/>
    <w:rsid w:val="4F1C5129"/>
    <w:rsid w:val="4F306C6F"/>
    <w:rsid w:val="4F49D7D2"/>
    <w:rsid w:val="4F80A26F"/>
    <w:rsid w:val="4FA36977"/>
    <w:rsid w:val="4FD55C88"/>
    <w:rsid w:val="4FFD52B5"/>
    <w:rsid w:val="50176D14"/>
    <w:rsid w:val="507E083E"/>
    <w:rsid w:val="50920E8F"/>
    <w:rsid w:val="5094DDA0"/>
    <w:rsid w:val="509F44F9"/>
    <w:rsid w:val="50A49CE1"/>
    <w:rsid w:val="50B82931"/>
    <w:rsid w:val="50BC03CD"/>
    <w:rsid w:val="50C763CA"/>
    <w:rsid w:val="50D105A3"/>
    <w:rsid w:val="50D8AE7A"/>
    <w:rsid w:val="50FF66EF"/>
    <w:rsid w:val="5104BE7C"/>
    <w:rsid w:val="5130524E"/>
    <w:rsid w:val="5160F07A"/>
    <w:rsid w:val="51D2C07A"/>
    <w:rsid w:val="51DB1DF4"/>
    <w:rsid w:val="51DBD3D2"/>
    <w:rsid w:val="51DD75A2"/>
    <w:rsid w:val="51E39AB5"/>
    <w:rsid w:val="51F3F341"/>
    <w:rsid w:val="51F55F61"/>
    <w:rsid w:val="524F43A9"/>
    <w:rsid w:val="52588CF3"/>
    <w:rsid w:val="5277515C"/>
    <w:rsid w:val="5298ECAE"/>
    <w:rsid w:val="52A3D740"/>
    <w:rsid w:val="52CB37D4"/>
    <w:rsid w:val="52CF0B0F"/>
    <w:rsid w:val="52E37119"/>
    <w:rsid w:val="53199E0E"/>
    <w:rsid w:val="537FB6AA"/>
    <w:rsid w:val="53943810"/>
    <w:rsid w:val="53C3C179"/>
    <w:rsid w:val="53C53C4C"/>
    <w:rsid w:val="5405C297"/>
    <w:rsid w:val="5423215A"/>
    <w:rsid w:val="544C66D1"/>
    <w:rsid w:val="5482D502"/>
    <w:rsid w:val="548F8D91"/>
    <w:rsid w:val="5499FF05"/>
    <w:rsid w:val="54ADCCED"/>
    <w:rsid w:val="54B419D1"/>
    <w:rsid w:val="54B54C4D"/>
    <w:rsid w:val="54C37104"/>
    <w:rsid w:val="54D424C8"/>
    <w:rsid w:val="54DE5394"/>
    <w:rsid w:val="552923B1"/>
    <w:rsid w:val="5546FB18"/>
    <w:rsid w:val="5546FB2E"/>
    <w:rsid w:val="5550AE70"/>
    <w:rsid w:val="556EC8E6"/>
    <w:rsid w:val="55D44920"/>
    <w:rsid w:val="55E1957C"/>
    <w:rsid w:val="561AFCCA"/>
    <w:rsid w:val="5633A3A9"/>
    <w:rsid w:val="5633DF4B"/>
    <w:rsid w:val="563DA385"/>
    <w:rsid w:val="564EB5E0"/>
    <w:rsid w:val="567244E0"/>
    <w:rsid w:val="5678C7D6"/>
    <w:rsid w:val="5680311F"/>
    <w:rsid w:val="56953886"/>
    <w:rsid w:val="569DED45"/>
    <w:rsid w:val="56C9DCA9"/>
    <w:rsid w:val="56CD2F33"/>
    <w:rsid w:val="573C5CE6"/>
    <w:rsid w:val="5762557B"/>
    <w:rsid w:val="5765E1F3"/>
    <w:rsid w:val="576C7010"/>
    <w:rsid w:val="577253A4"/>
    <w:rsid w:val="5785D939"/>
    <w:rsid w:val="579E697D"/>
    <w:rsid w:val="579ED97C"/>
    <w:rsid w:val="57C22BDE"/>
    <w:rsid w:val="57E92BA0"/>
    <w:rsid w:val="585A0F87"/>
    <w:rsid w:val="590A710D"/>
    <w:rsid w:val="594C100C"/>
    <w:rsid w:val="59699F81"/>
    <w:rsid w:val="59C46273"/>
    <w:rsid w:val="59D3431D"/>
    <w:rsid w:val="5A3E65FB"/>
    <w:rsid w:val="5A4DFE08"/>
    <w:rsid w:val="5A5298BF"/>
    <w:rsid w:val="5A862414"/>
    <w:rsid w:val="5A8EAE62"/>
    <w:rsid w:val="5A91CAAC"/>
    <w:rsid w:val="5B13C3C5"/>
    <w:rsid w:val="5BC6E34B"/>
    <w:rsid w:val="5BFA480C"/>
    <w:rsid w:val="5C0BA47D"/>
    <w:rsid w:val="5C305467"/>
    <w:rsid w:val="5C46C54D"/>
    <w:rsid w:val="5C65D7AB"/>
    <w:rsid w:val="5CC64F9C"/>
    <w:rsid w:val="5CCC7D5A"/>
    <w:rsid w:val="5CCF5548"/>
    <w:rsid w:val="5CD47666"/>
    <w:rsid w:val="5D14A70F"/>
    <w:rsid w:val="5D17D064"/>
    <w:rsid w:val="5D3F1403"/>
    <w:rsid w:val="5D4E96CB"/>
    <w:rsid w:val="5D7D7B21"/>
    <w:rsid w:val="5D7FE8AA"/>
    <w:rsid w:val="5D946A64"/>
    <w:rsid w:val="5D9DBC5B"/>
    <w:rsid w:val="5DE77BE8"/>
    <w:rsid w:val="5DFEA321"/>
    <w:rsid w:val="5E063840"/>
    <w:rsid w:val="5E0E5FCB"/>
    <w:rsid w:val="5E3102AE"/>
    <w:rsid w:val="5E311A8E"/>
    <w:rsid w:val="5E385D06"/>
    <w:rsid w:val="5E660999"/>
    <w:rsid w:val="5E8D6A01"/>
    <w:rsid w:val="5EE65C4D"/>
    <w:rsid w:val="5F225691"/>
    <w:rsid w:val="5F4E70BA"/>
    <w:rsid w:val="5F6C5146"/>
    <w:rsid w:val="5F754374"/>
    <w:rsid w:val="5F9F3C41"/>
    <w:rsid w:val="5FC36DCF"/>
    <w:rsid w:val="60155C8E"/>
    <w:rsid w:val="601CED63"/>
    <w:rsid w:val="6050BA9E"/>
    <w:rsid w:val="606B61FC"/>
    <w:rsid w:val="60C58848"/>
    <w:rsid w:val="617DD3C0"/>
    <w:rsid w:val="619DE9DC"/>
    <w:rsid w:val="61AD9C80"/>
    <w:rsid w:val="61CC679E"/>
    <w:rsid w:val="6202C49D"/>
    <w:rsid w:val="62305BF3"/>
    <w:rsid w:val="6240A4DF"/>
    <w:rsid w:val="62599B20"/>
    <w:rsid w:val="6288CFAF"/>
    <w:rsid w:val="62F2172F"/>
    <w:rsid w:val="6321B372"/>
    <w:rsid w:val="6332D440"/>
    <w:rsid w:val="6339B731"/>
    <w:rsid w:val="633F40D8"/>
    <w:rsid w:val="637003E5"/>
    <w:rsid w:val="63873DCF"/>
    <w:rsid w:val="63B0732C"/>
    <w:rsid w:val="63CEC4A6"/>
    <w:rsid w:val="63DAA798"/>
    <w:rsid w:val="641A13EA"/>
    <w:rsid w:val="645DB5D0"/>
    <w:rsid w:val="6479B517"/>
    <w:rsid w:val="64B20C49"/>
    <w:rsid w:val="64BAFB94"/>
    <w:rsid w:val="64DF618A"/>
    <w:rsid w:val="64E11329"/>
    <w:rsid w:val="650DDC45"/>
    <w:rsid w:val="652FFABC"/>
    <w:rsid w:val="6556FB12"/>
    <w:rsid w:val="658CEDBC"/>
    <w:rsid w:val="65C24BC6"/>
    <w:rsid w:val="65C77E46"/>
    <w:rsid w:val="65F0D888"/>
    <w:rsid w:val="660E55F3"/>
    <w:rsid w:val="66192590"/>
    <w:rsid w:val="669475D3"/>
    <w:rsid w:val="66A38F21"/>
    <w:rsid w:val="66BE0CFA"/>
    <w:rsid w:val="671DA549"/>
    <w:rsid w:val="673825D8"/>
    <w:rsid w:val="67B361B5"/>
    <w:rsid w:val="67C5CB88"/>
    <w:rsid w:val="67D5AA83"/>
    <w:rsid w:val="67FA04F9"/>
    <w:rsid w:val="680DBF40"/>
    <w:rsid w:val="681DC9FA"/>
    <w:rsid w:val="68211FD7"/>
    <w:rsid w:val="6821426C"/>
    <w:rsid w:val="68259D65"/>
    <w:rsid w:val="682E0C06"/>
    <w:rsid w:val="682F80D0"/>
    <w:rsid w:val="68319CA9"/>
    <w:rsid w:val="688D69B1"/>
    <w:rsid w:val="68A24367"/>
    <w:rsid w:val="68C4DB82"/>
    <w:rsid w:val="68E0709F"/>
    <w:rsid w:val="68E7CFD9"/>
    <w:rsid w:val="68F40D1F"/>
    <w:rsid w:val="692D6740"/>
    <w:rsid w:val="6937F887"/>
    <w:rsid w:val="69757FBD"/>
    <w:rsid w:val="69A09348"/>
    <w:rsid w:val="69B13386"/>
    <w:rsid w:val="69D1C11E"/>
    <w:rsid w:val="6A44155A"/>
    <w:rsid w:val="6A66C9AB"/>
    <w:rsid w:val="6AD4A10F"/>
    <w:rsid w:val="6ADD9346"/>
    <w:rsid w:val="6AE8EE95"/>
    <w:rsid w:val="6B68F50F"/>
    <w:rsid w:val="6C04EC0A"/>
    <w:rsid w:val="6C475987"/>
    <w:rsid w:val="6C6C902A"/>
    <w:rsid w:val="6C8D3398"/>
    <w:rsid w:val="6CC74F45"/>
    <w:rsid w:val="6CF130D2"/>
    <w:rsid w:val="6CF36F19"/>
    <w:rsid w:val="6D080C36"/>
    <w:rsid w:val="6D0A94FC"/>
    <w:rsid w:val="6D4FEC09"/>
    <w:rsid w:val="6E6C6567"/>
    <w:rsid w:val="6E944149"/>
    <w:rsid w:val="6EF878E8"/>
    <w:rsid w:val="6F199FCC"/>
    <w:rsid w:val="6F399BC7"/>
    <w:rsid w:val="6F54BCAC"/>
    <w:rsid w:val="6F589860"/>
    <w:rsid w:val="6F7414A1"/>
    <w:rsid w:val="6F7DE6E4"/>
    <w:rsid w:val="700979E5"/>
    <w:rsid w:val="703C4BCF"/>
    <w:rsid w:val="7046D40F"/>
    <w:rsid w:val="70BB8DF3"/>
    <w:rsid w:val="7105CB11"/>
    <w:rsid w:val="716E2C44"/>
    <w:rsid w:val="7180F159"/>
    <w:rsid w:val="718155FC"/>
    <w:rsid w:val="71AECF21"/>
    <w:rsid w:val="71D09E82"/>
    <w:rsid w:val="71EC94E2"/>
    <w:rsid w:val="72181657"/>
    <w:rsid w:val="722CEB52"/>
    <w:rsid w:val="7240DF4E"/>
    <w:rsid w:val="72441FAE"/>
    <w:rsid w:val="7247011C"/>
    <w:rsid w:val="727E7C6B"/>
    <w:rsid w:val="72A26379"/>
    <w:rsid w:val="72D434E2"/>
    <w:rsid w:val="72E14E3B"/>
    <w:rsid w:val="72F51F30"/>
    <w:rsid w:val="7302BE99"/>
    <w:rsid w:val="731C42EE"/>
    <w:rsid w:val="7334C5CF"/>
    <w:rsid w:val="7337E43A"/>
    <w:rsid w:val="733EEB0F"/>
    <w:rsid w:val="736C54E4"/>
    <w:rsid w:val="736FDA91"/>
    <w:rsid w:val="73737A3E"/>
    <w:rsid w:val="738F21F1"/>
    <w:rsid w:val="73B021EF"/>
    <w:rsid w:val="73B5613D"/>
    <w:rsid w:val="73EF917E"/>
    <w:rsid w:val="73F39031"/>
    <w:rsid w:val="740E83B5"/>
    <w:rsid w:val="740EE019"/>
    <w:rsid w:val="7416C41C"/>
    <w:rsid w:val="741C0FE1"/>
    <w:rsid w:val="7434347D"/>
    <w:rsid w:val="74644BE9"/>
    <w:rsid w:val="746DBEE9"/>
    <w:rsid w:val="7472F1F5"/>
    <w:rsid w:val="7485FFF8"/>
    <w:rsid w:val="748B2701"/>
    <w:rsid w:val="74A63161"/>
    <w:rsid w:val="74A98E94"/>
    <w:rsid w:val="74E88EB2"/>
    <w:rsid w:val="7507CD30"/>
    <w:rsid w:val="7512F946"/>
    <w:rsid w:val="751447A4"/>
    <w:rsid w:val="751466BC"/>
    <w:rsid w:val="754B6C34"/>
    <w:rsid w:val="757962F5"/>
    <w:rsid w:val="75AFD803"/>
    <w:rsid w:val="767367A4"/>
    <w:rsid w:val="76DB09AC"/>
    <w:rsid w:val="770181A3"/>
    <w:rsid w:val="77641991"/>
    <w:rsid w:val="77704FA9"/>
    <w:rsid w:val="77922189"/>
    <w:rsid w:val="77CDAD7E"/>
    <w:rsid w:val="77DA6BDE"/>
    <w:rsid w:val="77F47FB0"/>
    <w:rsid w:val="780D034E"/>
    <w:rsid w:val="78326200"/>
    <w:rsid w:val="784262AA"/>
    <w:rsid w:val="78641165"/>
    <w:rsid w:val="787AB010"/>
    <w:rsid w:val="78CB582D"/>
    <w:rsid w:val="78DA57AF"/>
    <w:rsid w:val="78DB4764"/>
    <w:rsid w:val="791E36A9"/>
    <w:rsid w:val="792C1ADF"/>
    <w:rsid w:val="792E670E"/>
    <w:rsid w:val="7939ADDA"/>
    <w:rsid w:val="79406CDD"/>
    <w:rsid w:val="7952672B"/>
    <w:rsid w:val="796A240D"/>
    <w:rsid w:val="796BE7BE"/>
    <w:rsid w:val="7978AF94"/>
    <w:rsid w:val="797BCC11"/>
    <w:rsid w:val="797E354A"/>
    <w:rsid w:val="79A94786"/>
    <w:rsid w:val="79C561A8"/>
    <w:rsid w:val="79E38186"/>
    <w:rsid w:val="79FBAE23"/>
    <w:rsid w:val="7A337DE6"/>
    <w:rsid w:val="7A374798"/>
    <w:rsid w:val="7AC315A6"/>
    <w:rsid w:val="7AF093CA"/>
    <w:rsid w:val="7AF39B34"/>
    <w:rsid w:val="7AFC96C5"/>
    <w:rsid w:val="7B05915F"/>
    <w:rsid w:val="7B614AAE"/>
    <w:rsid w:val="7B6EBA87"/>
    <w:rsid w:val="7BA115D6"/>
    <w:rsid w:val="7BAEB414"/>
    <w:rsid w:val="7BC91025"/>
    <w:rsid w:val="7C0A11B2"/>
    <w:rsid w:val="7C1BBE44"/>
    <w:rsid w:val="7C3DD7F3"/>
    <w:rsid w:val="7C49AD6E"/>
    <w:rsid w:val="7C51CA9F"/>
    <w:rsid w:val="7CB682BF"/>
    <w:rsid w:val="7CCF2DA4"/>
    <w:rsid w:val="7D1B588C"/>
    <w:rsid w:val="7D2B4D50"/>
    <w:rsid w:val="7D2B769B"/>
    <w:rsid w:val="7D4EC7FB"/>
    <w:rsid w:val="7D5F5BF4"/>
    <w:rsid w:val="7D6937B3"/>
    <w:rsid w:val="7DB05CF0"/>
    <w:rsid w:val="7DBC213A"/>
    <w:rsid w:val="7E4977FE"/>
    <w:rsid w:val="7EA1D94C"/>
    <w:rsid w:val="7EA854F5"/>
    <w:rsid w:val="7EACBF13"/>
    <w:rsid w:val="7EC781C6"/>
    <w:rsid w:val="7EEDB17B"/>
    <w:rsid w:val="7F269E2E"/>
    <w:rsid w:val="7F376BCF"/>
    <w:rsid w:val="7F6882E6"/>
    <w:rsid w:val="7F7FA79C"/>
    <w:rsid w:val="7F8E4209"/>
    <w:rsid w:val="7FB7589B"/>
    <w:rsid w:val="7FC2A5E4"/>
    <w:rsid w:val="7FD7E332"/>
    <w:rsid w:val="7FE4B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A6947"/>
  <w15:docId w15:val="{08585D00-F9B1-4D54-A9C8-6EF4CD26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9E2"/>
    <w:rPr>
      <w:rFonts w:ascii="Public Sans" w:eastAsia="Arial" w:hAnsi="Public Sans" w:cs="Arial"/>
      <w:lang w:val="en-GB"/>
    </w:rPr>
  </w:style>
  <w:style w:type="paragraph" w:styleId="Heading1">
    <w:name w:val="heading 1"/>
    <w:basedOn w:val="Normal"/>
    <w:uiPriority w:val="9"/>
    <w:qFormat/>
    <w:rsid w:val="001639E2"/>
    <w:pPr>
      <w:outlineLvl w:val="0"/>
    </w:pPr>
    <w:rPr>
      <w:b/>
      <w:bCs/>
      <w:color w:val="002856"/>
      <w:sz w:val="28"/>
      <w:szCs w:val="28"/>
    </w:rPr>
  </w:style>
  <w:style w:type="paragraph" w:styleId="Heading2">
    <w:name w:val="heading 2"/>
    <w:basedOn w:val="Normal"/>
    <w:next w:val="Normal"/>
    <w:link w:val="Heading2Char"/>
    <w:uiPriority w:val="9"/>
    <w:unhideWhenUsed/>
    <w:qFormat/>
    <w:rsid w:val="0091695A"/>
    <w:pPr>
      <w:outlineLvl w:val="1"/>
    </w:pPr>
    <w:rPr>
      <w:b/>
      <w:bCs/>
      <w:sz w:val="24"/>
      <w:szCs w:val="24"/>
    </w:rPr>
  </w:style>
  <w:style w:type="paragraph" w:styleId="Heading3">
    <w:name w:val="heading 3"/>
    <w:basedOn w:val="Normal"/>
    <w:next w:val="Normal"/>
    <w:link w:val="Heading3Char"/>
    <w:uiPriority w:val="9"/>
    <w:unhideWhenUsed/>
    <w:qFormat/>
    <w:rsid w:val="00AD4119"/>
    <w:pPr>
      <w:spacing w:after="160" w:line="259" w:lineRule="auto"/>
      <w:outlineLvl w:val="2"/>
    </w:pPr>
    <w:rPr>
      <w:b/>
      <w:bCs/>
      <w:color w:val="002841"/>
    </w:rPr>
  </w:style>
  <w:style w:type="paragraph" w:styleId="Heading4">
    <w:name w:val="heading 4"/>
    <w:basedOn w:val="Normal"/>
    <w:next w:val="Normal"/>
    <w:uiPriority w:val="9"/>
    <w:unhideWhenUsed/>
    <w:qFormat/>
    <w:rsid w:val="3A209900"/>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rsid w:val="00013DA6"/>
    <w:pPr>
      <w:jc w:val="center"/>
    </w:pPr>
    <w:rPr>
      <w:rFonts w:ascii="Outfit SemiBold" w:hAnsi="Outfit SemiBold"/>
      <w:b/>
      <w:bCs/>
      <w:color w:val="002856"/>
      <w:sz w:val="90"/>
      <w:szCs w:val="9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414A53"/>
    <w:rPr>
      <w:sz w:val="16"/>
      <w:szCs w:val="16"/>
    </w:rPr>
  </w:style>
  <w:style w:type="paragraph" w:styleId="CommentText">
    <w:name w:val="annotation text"/>
    <w:basedOn w:val="Normal"/>
    <w:link w:val="CommentTextChar"/>
    <w:uiPriority w:val="99"/>
    <w:unhideWhenUsed/>
    <w:rsid w:val="00414A53"/>
    <w:rPr>
      <w:sz w:val="20"/>
      <w:szCs w:val="20"/>
    </w:rPr>
  </w:style>
  <w:style w:type="character" w:customStyle="1" w:styleId="CommentTextChar">
    <w:name w:val="Comment Text Char"/>
    <w:basedOn w:val="DefaultParagraphFont"/>
    <w:link w:val="CommentText"/>
    <w:uiPriority w:val="99"/>
    <w:rsid w:val="00414A5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14A53"/>
    <w:rPr>
      <w:b/>
      <w:bCs/>
    </w:rPr>
  </w:style>
  <w:style w:type="character" w:customStyle="1" w:styleId="CommentSubjectChar">
    <w:name w:val="Comment Subject Char"/>
    <w:basedOn w:val="CommentTextChar"/>
    <w:link w:val="CommentSubject"/>
    <w:uiPriority w:val="99"/>
    <w:semiHidden/>
    <w:rsid w:val="00414A53"/>
    <w:rPr>
      <w:rFonts w:ascii="Arial" w:eastAsia="Arial" w:hAnsi="Arial" w:cs="Arial"/>
      <w:b/>
      <w:bCs/>
      <w:sz w:val="20"/>
      <w:szCs w:val="20"/>
    </w:rPr>
  </w:style>
  <w:style w:type="paragraph" w:styleId="Header">
    <w:name w:val="header"/>
    <w:basedOn w:val="Normal"/>
    <w:link w:val="HeaderChar"/>
    <w:uiPriority w:val="99"/>
    <w:unhideWhenUsed/>
    <w:rsid w:val="00CC5C82"/>
    <w:pPr>
      <w:tabs>
        <w:tab w:val="center" w:pos="4513"/>
        <w:tab w:val="right" w:pos="9026"/>
      </w:tabs>
    </w:pPr>
  </w:style>
  <w:style w:type="character" w:customStyle="1" w:styleId="HeaderChar">
    <w:name w:val="Header Char"/>
    <w:basedOn w:val="DefaultParagraphFont"/>
    <w:link w:val="Header"/>
    <w:uiPriority w:val="99"/>
    <w:rsid w:val="00CC5C82"/>
    <w:rPr>
      <w:rFonts w:ascii="Arial" w:eastAsia="Arial" w:hAnsi="Arial" w:cs="Arial"/>
    </w:rPr>
  </w:style>
  <w:style w:type="paragraph" w:styleId="Footer">
    <w:name w:val="footer"/>
    <w:basedOn w:val="Normal"/>
    <w:link w:val="FooterChar"/>
    <w:uiPriority w:val="99"/>
    <w:unhideWhenUsed/>
    <w:rsid w:val="00CC5C82"/>
    <w:pPr>
      <w:tabs>
        <w:tab w:val="center" w:pos="4513"/>
        <w:tab w:val="right" w:pos="9026"/>
      </w:tabs>
    </w:pPr>
  </w:style>
  <w:style w:type="character" w:customStyle="1" w:styleId="FooterChar">
    <w:name w:val="Footer Char"/>
    <w:basedOn w:val="DefaultParagraphFont"/>
    <w:link w:val="Footer"/>
    <w:uiPriority w:val="99"/>
    <w:rsid w:val="00CC5C82"/>
    <w:rPr>
      <w:rFonts w:ascii="Arial" w:eastAsia="Arial" w:hAnsi="Arial" w:cs="Arial"/>
    </w:rPr>
  </w:style>
  <w:style w:type="paragraph" w:styleId="Revision">
    <w:name w:val="Revision"/>
    <w:hidden/>
    <w:uiPriority w:val="99"/>
    <w:semiHidden/>
    <w:rsid w:val="00CC5C82"/>
    <w:pPr>
      <w:widowControl/>
      <w:autoSpaceDE/>
      <w:autoSpaceDN/>
    </w:pPr>
    <w:rPr>
      <w:rFonts w:ascii="Arial" w:eastAsia="Arial" w:hAnsi="Arial" w:cs="Arial"/>
    </w:rPr>
  </w:style>
  <w:style w:type="character" w:styleId="Hyperlink">
    <w:name w:val="Hyperlink"/>
    <w:basedOn w:val="DefaultParagraphFont"/>
    <w:uiPriority w:val="99"/>
    <w:unhideWhenUsed/>
    <w:rsid w:val="00197BE7"/>
    <w:rPr>
      <w:color w:val="0000FF" w:themeColor="hyperlink"/>
      <w:u w:val="single"/>
    </w:rPr>
  </w:style>
  <w:style w:type="character" w:customStyle="1" w:styleId="UnresolvedMention1">
    <w:name w:val="Unresolved Mention1"/>
    <w:basedOn w:val="DefaultParagraphFont"/>
    <w:uiPriority w:val="99"/>
    <w:semiHidden/>
    <w:unhideWhenUsed/>
    <w:rsid w:val="00197BE7"/>
    <w:rPr>
      <w:color w:val="605E5C"/>
      <w:shd w:val="clear" w:color="auto" w:fill="E1DFDD"/>
    </w:rPr>
  </w:style>
  <w:style w:type="paragraph" w:styleId="BalloonText">
    <w:name w:val="Balloon Text"/>
    <w:basedOn w:val="Normal"/>
    <w:link w:val="BalloonTextChar"/>
    <w:uiPriority w:val="99"/>
    <w:semiHidden/>
    <w:unhideWhenUsed/>
    <w:rsid w:val="00FB1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D4A"/>
    <w:rPr>
      <w:rFonts w:ascii="Segoe UI" w:eastAsia="Arial" w:hAnsi="Segoe UI" w:cs="Segoe UI"/>
      <w:sz w:val="18"/>
      <w:szCs w:val="18"/>
    </w:rPr>
  </w:style>
  <w:style w:type="character" w:customStyle="1" w:styleId="BodyTextChar">
    <w:name w:val="Body Text Char"/>
    <w:basedOn w:val="DefaultParagraphFont"/>
    <w:link w:val="BodyText"/>
    <w:uiPriority w:val="1"/>
    <w:rsid w:val="0010313F"/>
    <w:rPr>
      <w:rFonts w:ascii="Arial" w:eastAsia="Arial" w:hAnsi="Arial" w:cs="Arial"/>
    </w:rPr>
  </w:style>
  <w:style w:type="character" w:customStyle="1" w:styleId="TitleChar">
    <w:name w:val="Title Char"/>
    <w:basedOn w:val="DefaultParagraphFont"/>
    <w:link w:val="Title"/>
    <w:uiPriority w:val="10"/>
    <w:rsid w:val="00013DA6"/>
    <w:rPr>
      <w:rFonts w:ascii="Outfit SemiBold" w:eastAsia="Arial" w:hAnsi="Outfit SemiBold" w:cs="Arial"/>
      <w:b/>
      <w:bCs/>
      <w:color w:val="002856"/>
      <w:sz w:val="90"/>
      <w:szCs w:val="90"/>
    </w:rPr>
  </w:style>
  <w:style w:type="paragraph" w:styleId="NoSpacing">
    <w:name w:val="No Spacing"/>
    <w:link w:val="NoSpacingChar"/>
    <w:uiPriority w:val="1"/>
    <w:qFormat/>
    <w:rsid w:val="0010313F"/>
    <w:pPr>
      <w:widowControl/>
      <w:autoSpaceDE/>
      <w:autoSpaceDN/>
    </w:pPr>
    <w:rPr>
      <w:rFonts w:eastAsiaTheme="minorEastAsia"/>
    </w:rPr>
  </w:style>
  <w:style w:type="character" w:customStyle="1" w:styleId="NoSpacingChar">
    <w:name w:val="No Spacing Char"/>
    <w:basedOn w:val="DefaultParagraphFont"/>
    <w:link w:val="NoSpacing"/>
    <w:uiPriority w:val="1"/>
    <w:rsid w:val="0010313F"/>
    <w:rPr>
      <w:rFonts w:eastAsiaTheme="minorEastAsia"/>
    </w:rPr>
  </w:style>
  <w:style w:type="character" w:styleId="PageNumber">
    <w:name w:val="page number"/>
    <w:basedOn w:val="DefaultParagraphFont"/>
    <w:uiPriority w:val="99"/>
    <w:semiHidden/>
    <w:unhideWhenUsed/>
    <w:rsid w:val="00690C83"/>
  </w:style>
  <w:style w:type="table" w:styleId="TableGrid">
    <w:name w:val="Table Grid"/>
    <w:basedOn w:val="TableNormal"/>
    <w:uiPriority w:val="39"/>
    <w:rsid w:val="001728E0"/>
    <w:pPr>
      <w:widowControl/>
      <w:autoSpaceDE/>
      <w:autoSpaceDN/>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ppyq">
    <w:name w:val="s1ppyq"/>
    <w:basedOn w:val="DefaultParagraphFont"/>
    <w:rsid w:val="007E0260"/>
  </w:style>
  <w:style w:type="paragraph" w:styleId="Subtitle">
    <w:name w:val="Subtitle"/>
    <w:basedOn w:val="Normal"/>
    <w:next w:val="Normal"/>
    <w:link w:val="SubtitleChar"/>
    <w:uiPriority w:val="11"/>
    <w:qFormat/>
    <w:rsid w:val="00013DA6"/>
    <w:pPr>
      <w:jc w:val="center"/>
    </w:pPr>
    <w:rPr>
      <w:rFonts w:ascii="Outfit" w:hAnsi="Outfit"/>
      <w:color w:val="002856"/>
      <w:sz w:val="64"/>
      <w:szCs w:val="64"/>
    </w:rPr>
  </w:style>
  <w:style w:type="character" w:customStyle="1" w:styleId="SubtitleChar">
    <w:name w:val="Subtitle Char"/>
    <w:basedOn w:val="DefaultParagraphFont"/>
    <w:link w:val="Subtitle"/>
    <w:uiPriority w:val="11"/>
    <w:rsid w:val="00013DA6"/>
    <w:rPr>
      <w:rFonts w:ascii="Outfit" w:eastAsia="Arial" w:hAnsi="Outfit" w:cs="Arial"/>
      <w:color w:val="002856"/>
      <w:sz w:val="64"/>
      <w:szCs w:val="64"/>
    </w:rPr>
  </w:style>
  <w:style w:type="character" w:customStyle="1" w:styleId="Heading2Char">
    <w:name w:val="Heading 2 Char"/>
    <w:basedOn w:val="DefaultParagraphFont"/>
    <w:link w:val="Heading2"/>
    <w:uiPriority w:val="9"/>
    <w:rsid w:val="0091695A"/>
    <w:rPr>
      <w:rFonts w:ascii="Public Sans" w:eastAsia="Arial" w:hAnsi="Public Sans" w:cs="Arial"/>
      <w:b/>
      <w:bCs/>
      <w:sz w:val="24"/>
      <w:szCs w:val="24"/>
      <w:lang w:val="en-GB"/>
    </w:rPr>
  </w:style>
  <w:style w:type="paragraph" w:styleId="TOC2">
    <w:name w:val="toc 2"/>
    <w:basedOn w:val="Normal"/>
    <w:next w:val="Normal"/>
    <w:autoRedefine/>
    <w:uiPriority w:val="39"/>
    <w:unhideWhenUsed/>
    <w:rsid w:val="00954A1F"/>
    <w:pPr>
      <w:spacing w:after="100"/>
      <w:ind w:left="220"/>
    </w:pPr>
  </w:style>
  <w:style w:type="paragraph" w:styleId="TOC1">
    <w:name w:val="toc 1"/>
    <w:basedOn w:val="Normal"/>
    <w:next w:val="Normal"/>
    <w:autoRedefine/>
    <w:uiPriority w:val="39"/>
    <w:unhideWhenUsed/>
    <w:rsid w:val="00954A1F"/>
    <w:pPr>
      <w:spacing w:after="100"/>
    </w:pPr>
  </w:style>
  <w:style w:type="character" w:styleId="UnresolvedMention">
    <w:name w:val="Unresolved Mention"/>
    <w:basedOn w:val="DefaultParagraphFont"/>
    <w:uiPriority w:val="99"/>
    <w:semiHidden/>
    <w:unhideWhenUsed/>
    <w:rsid w:val="0011693B"/>
    <w:rPr>
      <w:color w:val="605E5C"/>
      <w:shd w:val="clear" w:color="auto" w:fill="E1DFDD"/>
    </w:rPr>
  </w:style>
  <w:style w:type="character" w:customStyle="1" w:styleId="Heading3Char">
    <w:name w:val="Heading 3 Char"/>
    <w:basedOn w:val="DefaultParagraphFont"/>
    <w:link w:val="Heading3"/>
    <w:uiPriority w:val="9"/>
    <w:rsid w:val="00AD4119"/>
    <w:rPr>
      <w:rFonts w:ascii="Public Sans" w:eastAsia="Arial" w:hAnsi="Public Sans" w:cs="Arial"/>
      <w:b/>
      <w:bCs/>
      <w:color w:val="002841"/>
      <w:lang w:val="en-GB"/>
    </w:rPr>
  </w:style>
  <w:style w:type="paragraph" w:styleId="FootnoteText">
    <w:name w:val="footnote text"/>
    <w:basedOn w:val="Normal"/>
    <w:link w:val="FootnoteTextChar"/>
    <w:uiPriority w:val="99"/>
    <w:semiHidden/>
    <w:unhideWhenUsed/>
    <w:rsid w:val="00DC1BB9"/>
    <w:rPr>
      <w:sz w:val="20"/>
      <w:szCs w:val="20"/>
    </w:rPr>
  </w:style>
  <w:style w:type="character" w:customStyle="1" w:styleId="FootnoteTextChar">
    <w:name w:val="Footnote Text Char"/>
    <w:basedOn w:val="DefaultParagraphFont"/>
    <w:link w:val="FootnoteText"/>
    <w:uiPriority w:val="99"/>
    <w:semiHidden/>
    <w:rsid w:val="00DC1BB9"/>
    <w:rPr>
      <w:rFonts w:ascii="Public Sans" w:eastAsia="Arial" w:hAnsi="Public Sans" w:cs="Arial"/>
      <w:sz w:val="20"/>
      <w:szCs w:val="20"/>
      <w:lang w:val="en-GB"/>
    </w:rPr>
  </w:style>
  <w:style w:type="character" w:styleId="FootnoteReference">
    <w:name w:val="footnote reference"/>
    <w:basedOn w:val="DefaultParagraphFont"/>
    <w:uiPriority w:val="99"/>
    <w:semiHidden/>
    <w:unhideWhenUsed/>
    <w:rsid w:val="00DC1BB9"/>
    <w:rPr>
      <w:vertAlign w:val="superscript"/>
    </w:rPr>
  </w:style>
  <w:style w:type="paragraph" w:styleId="TOCHeading">
    <w:name w:val="TOC Heading"/>
    <w:basedOn w:val="Heading1"/>
    <w:next w:val="Normal"/>
    <w:uiPriority w:val="39"/>
    <w:unhideWhenUsed/>
    <w:qFormat/>
    <w:rsid w:val="00CB4042"/>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CB4042"/>
    <w:pPr>
      <w:spacing w:after="100"/>
      <w:ind w:left="440"/>
    </w:pPr>
  </w:style>
  <w:style w:type="character" w:styleId="FollowedHyperlink">
    <w:name w:val="FollowedHyperlink"/>
    <w:basedOn w:val="DefaultParagraphFont"/>
    <w:uiPriority w:val="99"/>
    <w:semiHidden/>
    <w:unhideWhenUsed/>
    <w:rsid w:val="00AF6687"/>
    <w:rPr>
      <w:color w:val="800080" w:themeColor="followedHyperlink"/>
      <w:u w:val="single"/>
    </w:rPr>
  </w:style>
  <w:style w:type="character" w:customStyle="1" w:styleId="None">
    <w:name w:val="None"/>
    <w:rsid w:val="00052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338233">
      <w:bodyDiv w:val="1"/>
      <w:marLeft w:val="0"/>
      <w:marRight w:val="0"/>
      <w:marTop w:val="0"/>
      <w:marBottom w:val="0"/>
      <w:divBdr>
        <w:top w:val="none" w:sz="0" w:space="0" w:color="auto"/>
        <w:left w:val="none" w:sz="0" w:space="0" w:color="auto"/>
        <w:bottom w:val="none" w:sz="0" w:space="0" w:color="auto"/>
        <w:right w:val="none" w:sz="0" w:space="0" w:color="auto"/>
      </w:divBdr>
    </w:div>
    <w:div w:id="2119061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vironment.ec.europa.eu/topics/forests/deforestation/regulation-deforestation-free-products_en" TargetMode="External"/><Relationship Id="rId18" Type="http://schemas.openxmlformats.org/officeDocument/2006/relationships/hyperlink" Target="https://www.gov.uk/eori" TargetMode="External"/><Relationship Id="rId26" Type="http://schemas.openxmlformats.org/officeDocument/2006/relationships/hyperlink" Target="https://www.editeur.org/files/ONIX%203/APPNOTE%20EU%20Deforestation%20Regulation%20and%20ONIX.pdf" TargetMode="External"/><Relationship Id="rId39" Type="http://schemas.openxmlformats.org/officeDocument/2006/relationships/hyperlink" Target="https://bic.org.uk/wp-content/uploads/2024/10/BIC-BAB_Roles-and-Responsibilities.pdf" TargetMode="External"/><Relationship Id="rId21" Type="http://schemas.openxmlformats.org/officeDocument/2006/relationships/hyperlink" Target="https://circabc.europa.eu/ui/group/34861680-e799-4d7c-bbad-da83c45da458/library/aa55d53f-a605-4d8d-8fce-1594abab3a40/details" TargetMode="External"/><Relationship Id="rId34" Type="http://schemas.openxmlformats.org/officeDocument/2006/relationships/hyperlink" Target="https://www.lawcode.eu/en/blog/eudr-and-the-meaning-of-hs-and-taric-codes/" TargetMode="External"/><Relationship Id="rId42" Type="http://schemas.openxmlformats.org/officeDocument/2006/relationships/hyperlink" Target="https://bic.org.uk/wp-content/uploads/2025/08/Publisher-transitional-stock-analysis.xlsx" TargetMode="External"/><Relationship Id="rId47" Type="http://schemas.openxmlformats.org/officeDocument/2006/relationships/hyperlink" Target="https://environment.ec.europa.eu/publications/frequently-asked-questions-deforestation-regulation_en" TargetMode="External"/><Relationship Id="rId50" Type="http://schemas.openxmlformats.org/officeDocument/2006/relationships/hyperlink" Target="https://www.clecat.org/media/deforestation-reg-2023-1115---taric-data.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rade-tariff.service.gov.uk/chapters/48?day=8&amp;month=6&amp;request_id=36f2d256-86e2-4ba4-842b-e3515528ccad&amp;year=2026" TargetMode="External"/><Relationship Id="rId29" Type="http://schemas.openxmlformats.org/officeDocument/2006/relationships/hyperlink" Target="https://quebecwoodexport.com/wp-content/uploads/2025/06/Guide-utilisateur_v3_en.pdf" TargetMode="External"/><Relationship Id="rId11" Type="http://schemas.openxmlformats.org/officeDocument/2006/relationships/image" Target="media/image1.png"/><Relationship Id="rId24" Type="http://schemas.openxmlformats.org/officeDocument/2006/relationships/hyperlink" Target="https://www.trade-tariff.service.gov.uk/chapters/49?day=8&amp;month=6&amp;request_id=39eb5661-9ea3-484b-9b5d-49c6acf8a388&amp;year=2026" TargetMode="External"/><Relationship Id="rId32" Type="http://schemas.openxmlformats.org/officeDocument/2006/relationships/hyperlink" Target="https://taxation-customs.ec.europa.eu/single-administrative-document-sad_en" TargetMode="External"/><Relationship Id="rId37" Type="http://schemas.openxmlformats.org/officeDocument/2006/relationships/hyperlink" Target="https://crossbordertradehub.intertradeireland.com/how-many-digits-should-a-commodity-code-be" TargetMode="External"/><Relationship Id="rId40" Type="http://schemas.openxmlformats.org/officeDocument/2006/relationships/hyperlink" Target="https://environment.ec.europa.eu/document/5dc7aa19-e58f-42a3-bbbe-f0eb2e5a1d3a_en" TargetMode="External"/><Relationship Id="rId45" Type="http://schemas.openxmlformats.org/officeDocument/2006/relationships/hyperlink" Target="https://www.editeur.org/files/ONIX%203/APPNOTE%20EU%20Deforestation%20Regulation%20and%20ONIX.pdf" TargetMode="External"/><Relationship Id="rId53"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hyperlink" Target="https://www.gov.uk/eori/eori-northern-ire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vironment.ec.europa.eu/publications/frequently-asked-questions-deforestation-regulation_en" TargetMode="External"/><Relationship Id="rId22" Type="http://schemas.openxmlformats.org/officeDocument/2006/relationships/hyperlink" Target="https://www.trade-tariff.service.gov.uk/chapters/47?day=8&amp;month=6&amp;request_id=ebc40910-fd34-42a3-a4ed-fc6df5c5ad5a&amp;year=2026" TargetMode="External"/><Relationship Id="rId27" Type="http://schemas.openxmlformats.org/officeDocument/2006/relationships/hyperlink" Target="https://www.editeur.org/93/Release-3.0-and-3.1-Downloads/" TargetMode="External"/><Relationship Id="rId30" Type="http://schemas.openxmlformats.org/officeDocument/2006/relationships/hyperlink" Target="https://www.clecat.org/media/deforestation-reg-2023-1115---taric-data.pdf" TargetMode="External"/><Relationship Id="rId35" Type="http://schemas.openxmlformats.org/officeDocument/2006/relationships/hyperlink" Target="https://www.trade-tariff.service.gov.uk/xi/commodities/4901990000?day=2&amp;month=1&amp;year=2026" TargetMode="External"/><Relationship Id="rId43" Type="http://schemas.openxmlformats.org/officeDocument/2006/relationships/hyperlink" Target="https://bic.org.uk/wp-content/uploads/2025/08/CPI-Group-EUDR-questionnaire-and-risk-assessment.xlsx" TargetMode="External"/><Relationship Id="rId48" Type="http://schemas.openxmlformats.org/officeDocument/2006/relationships/hyperlink" Target="https://eur-lex.europa.eu/eli/reg/2010/995/oj/eng"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environment.ec.europa.eu/news/commission-updates-product-scope-and-tools-support-eudr-2026-07-13_en" TargetMode="External"/><Relationship Id="rId17" Type="http://schemas.openxmlformats.org/officeDocument/2006/relationships/hyperlink" Target="https://www.trade-tariff.service.gov.uk/chapters/49?day=8&amp;month=6&amp;request_id=948b0525-fc29-4861-8d3a-c4c3b1ea52ce&amp;year=2026" TargetMode="External"/><Relationship Id="rId25" Type="http://schemas.openxmlformats.org/officeDocument/2006/relationships/hyperlink" Target="https://www.editeur.org/files/videos/20240903%20EUDR%20Lunch%20and%20Learn%20720p.html" TargetMode="External"/><Relationship Id="rId33" Type="http://schemas.openxmlformats.org/officeDocument/2006/relationships/image" Target="media/image2.png"/><Relationship Id="rId38" Type="http://schemas.openxmlformats.org/officeDocument/2006/relationships/hyperlink" Target="https://gbr01.safelinks.protection.outlook.com/?url=https%3A%2F%2Faims.niassembly.gov.uk%2Fofficialreport%2Fminutesofevidencereport.aspx%3FAgendaId%3D34728&amp;data=05%7C02%7Csimon.crump%40bpif.org.uk%7Cfae0a15006bc4f5e258008ddd022cbb0%7C9e8b36faf1d54a39ada7e198c0c9c84d%7C0%7C0%7C638895570066866718%7CUnknown%7CTWFpbGZsb3d8eyJFbXB0eU1hcGkiOnRydWUsIlYiOiIwLjAuMDAwMCIsIlAiOiJXaW4zMiIsIkFOIjoiTWFpbCIsIldUIjoyfQ%3D%3D%7C0%7C%7C%7C&amp;sdata=CUQKcRbL2r3rK7LEMbIA%2BEcT1jfEjVu3G5z%2F05uaaE0%3D&amp;reserved=0" TargetMode="External"/><Relationship Id="rId46" Type="http://schemas.openxmlformats.org/officeDocument/2006/relationships/hyperlink" Target="https://environment.ec.europa.eu/topics/forests/deforestation/regulation-deforestation-free-products_en" TargetMode="External"/><Relationship Id="rId20" Type="http://schemas.openxmlformats.org/officeDocument/2006/relationships/hyperlink" Target="https://bic.org.uk/wp-content/uploads/2025/08/MANUAL-CREATION-OF-A-USER.pdf" TargetMode="External"/><Relationship Id="rId41" Type="http://schemas.openxmlformats.org/officeDocument/2006/relationships/hyperlink" Target="https://www.cpi-print.co.uk/"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rade-tariff.service.gov.uk/chapters/47?day=8&amp;month=6&amp;request_id=5abbcea8-540e-4b28-baac-ae5d8353cb76&amp;year=2026" TargetMode="External"/><Relationship Id="rId23" Type="http://schemas.openxmlformats.org/officeDocument/2006/relationships/hyperlink" Target="https://www.trade-tariff.service.gov.uk/chapters/48?day=8&amp;month=6&amp;request_id=8d549abc-4c19-4ab4-8499-e15872f0f53e&amp;year=2026" TargetMode="External"/><Relationship Id="rId28" Type="http://schemas.openxmlformats.org/officeDocument/2006/relationships/hyperlink" Target="https://cms-lawnow.com/en/ealerts/2025/07/guidance-geolocation-data-sharing-from-china-under-eudr" TargetMode="External"/><Relationship Id="rId36" Type="http://schemas.openxmlformats.org/officeDocument/2006/relationships/hyperlink" Target="https://crossbordertradehub.intertradeireland.com/a-guide-to-commodity-codes" TargetMode="External"/><Relationship Id="rId49" Type="http://schemas.openxmlformats.org/officeDocument/2006/relationships/hyperlink" Target="https://www.freightos.com/freight-resources/incoterms-plain-english-freight-shipping-guide/"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bic.org.uk/wp-content/uploads/2024/10/BIC-BAB_Roles-and-Responsibilities.pdf" TargetMode="External"/><Relationship Id="rId44" Type="http://schemas.openxmlformats.org/officeDocument/2006/relationships/hyperlink" Target="https://eur-lex.europa.eu/legal-content/EN/TXT/PDF/?uri=OJ:L_202501093" TargetMode="External"/><Relationship Id="rId5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ms-lawnow.com/en/ealerts/2025/07/guidance-geolocation-data-sharing-from-china-under-eud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20Nicholls\Dropbox\!BIC%20Shared%20Files\BIC%20Branded%20documents\!2023%20Branding\Documentation\Briefs-Reports\Doc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96B41186ED194DA45365685A2ED9F6" ma:contentTypeVersion="7" ma:contentTypeDescription="Create a new document." ma:contentTypeScope="" ma:versionID="55cb06fc76990e0cbf1aa8ed32a3ec80">
  <xsd:schema xmlns:xsd="http://www.w3.org/2001/XMLSchema" xmlns:xs="http://www.w3.org/2001/XMLSchema" xmlns:p="http://schemas.microsoft.com/office/2006/metadata/properties" xmlns:ns2="765a074e-e8bc-4039-9dbe-1cb709dad260" targetNamespace="http://schemas.microsoft.com/office/2006/metadata/properties" ma:root="true" ma:fieldsID="dd2b283d202131dafeddba972de4efb8" ns2:_="">
    <xsd:import namespace="765a074e-e8bc-4039-9dbe-1cb709dad2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a074e-e8bc-4039-9dbe-1cb709dad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2CD30-FE80-4BD3-BEC2-0A62426CB2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203994-0DA4-4070-A9CD-42C9A64CE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a074e-e8bc-4039-9dbe-1cb709dad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6347E-6031-4B34-9248-91A36D8EBA35}">
  <ds:schemaRefs>
    <ds:schemaRef ds:uri="http://schemas.microsoft.com/sharepoint/v3/contenttype/forms"/>
  </ds:schemaRefs>
</ds:datastoreItem>
</file>

<file path=customXml/itemProps4.xml><?xml version="1.0" encoding="utf-8"?>
<ds:datastoreItem xmlns:ds="http://schemas.openxmlformats.org/officeDocument/2006/customXml" ds:itemID="{B9D55A59-24CB-4C85-B88C-57E17432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Doc_Portrait.dotx</Template>
  <TotalTime>3</TotalTime>
  <Pages>21</Pages>
  <Words>8355</Words>
  <Characters>47630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Nicholls</dc:creator>
  <cp:lastModifiedBy>Jo Nicholls</cp:lastModifiedBy>
  <cp:revision>3</cp:revision>
  <cp:lastPrinted>2025-08-13T15:01:00Z</cp:lastPrinted>
  <dcterms:created xsi:type="dcterms:W3CDTF">2026-08-13T09:12:00Z</dcterms:created>
  <dcterms:modified xsi:type="dcterms:W3CDTF">2026-08-13T09:13:00Z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2017-12-18T00:00:00Z</vt:filetime>
  </property>
  <property fmtid="{D5CDD505-2E9C-101B-9397-08002B2CF9AE}" pid="3" name="Creator">
    <vt:lpwstr>Adobe Acrobat 9.0.0</vt:lpwstr>
  </property>
  <property fmtid="{D5CDD505-2E9C-101B-9397-08002B2CF9AE}" pid="4" name="LastSaved">
    <vt:filetime>2021-08-19T00:00:00Z</vt:filetime>
  </property>
  <property fmtid="{D5CDD505-2E9C-101B-9397-08002B2CF9AE}" pid="5" name="ContentTypeId">
    <vt:lpwstr>0x0101008496B41186ED194DA45365685A2ED9F6</vt:lpwstr>
  </property>
</Properties>
</file>